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C869" w14:textId="77777777" w:rsidR="00127624" w:rsidRDefault="00127624" w:rsidP="009876B8">
      <w:pPr>
        <w:spacing w:after="0" w:line="240" w:lineRule="auto"/>
        <w:jc w:val="both"/>
        <w:rPr>
          <w:rFonts w:ascii="Arial" w:eastAsia="Calibri" w:hAnsi="Arial" w:cs="Arial"/>
          <w:b/>
          <w:color w:val="000000"/>
        </w:rPr>
      </w:pPr>
    </w:p>
    <w:sdt>
      <w:sdtPr>
        <w:id w:val="-528481792"/>
        <w:docPartObj>
          <w:docPartGallery w:val="Cover Pages"/>
          <w:docPartUnique/>
        </w:docPartObj>
      </w:sdtPr>
      <w:sdtEndPr>
        <w:rPr>
          <w:rFonts w:ascii="Arial" w:hAnsi="Arial" w:cs="Arial"/>
          <w:b/>
          <w:bCs/>
        </w:rPr>
      </w:sdtEndPr>
      <w:sdtContent>
        <w:p w14:paraId="3178F2B0" w14:textId="77777777" w:rsidR="00127624" w:rsidRPr="00AC6F52" w:rsidRDefault="00127624" w:rsidP="00127624">
          <w:pPr>
            <w:spacing w:line="360" w:lineRule="auto"/>
            <w:jc w:val="center"/>
            <w:rPr>
              <w:rFonts w:ascii="Arial" w:hAnsi="Arial" w:cs="Arial"/>
              <w:b/>
              <w:bCs/>
            </w:rPr>
            <w:sectPr w:rsidR="00127624" w:rsidRPr="00AC6F52" w:rsidSect="0012762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7997B0F2" wp14:editId="4B6C3DB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8CDC" w14:textId="289740C2" w:rsidR="00127624" w:rsidRPr="0088400D" w:rsidRDefault="00127624" w:rsidP="0012762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Pr>
                                    <w:rFonts w:ascii="Century Gothic" w:hAnsi="Century Gothic"/>
                                    <w:b/>
                                  </w:rPr>
                                  <w:t>30</w:t>
                                </w:r>
                                <w:r>
                                  <w:rPr>
                                    <w:rFonts w:ascii="Century Gothic" w:hAnsi="Century Gothic"/>
                                    <w:b/>
                                  </w:rPr>
                                  <w:t>-diciembre</w:t>
                                </w:r>
                                <w:r w:rsidRPr="0088400D">
                                  <w:rPr>
                                    <w:rFonts w:ascii="Century Gothic" w:hAnsi="Century Gothic"/>
                                    <w:b/>
                                  </w:rPr>
                                  <w:t>-20</w:t>
                                </w:r>
                                <w:r>
                                  <w:rPr>
                                    <w:rFonts w:ascii="Century Gothic" w:hAnsi="Century Gothic"/>
                                    <w:b/>
                                  </w:rPr>
                                  <w:t>2</w:t>
                                </w:r>
                                <w:r>
                                  <w:rPr>
                                    <w:rFonts w:ascii="Century Gothic" w:hAnsi="Century Gothic"/>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B0F2"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D518CDC" w14:textId="289740C2" w:rsidR="00127624" w:rsidRPr="0088400D" w:rsidRDefault="00127624" w:rsidP="0012762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Pr>
                              <w:rFonts w:ascii="Century Gothic" w:hAnsi="Century Gothic"/>
                              <w:b/>
                            </w:rPr>
                            <w:t>30</w:t>
                          </w:r>
                          <w:r>
                            <w:rPr>
                              <w:rFonts w:ascii="Century Gothic" w:hAnsi="Century Gothic"/>
                              <w:b/>
                            </w:rPr>
                            <w:t>-diciembre</w:t>
                          </w:r>
                          <w:r w:rsidRPr="0088400D">
                            <w:rPr>
                              <w:rFonts w:ascii="Century Gothic" w:hAnsi="Century Gothic"/>
                              <w:b/>
                            </w:rPr>
                            <w:t>-20</w:t>
                          </w:r>
                          <w:r>
                            <w:rPr>
                              <w:rFonts w:ascii="Century Gothic" w:hAnsi="Century Gothic"/>
                              <w:b/>
                            </w:rPr>
                            <w:t>2</w:t>
                          </w:r>
                          <w:r>
                            <w:rPr>
                              <w:rFonts w:ascii="Century Gothic" w:hAnsi="Century Gothic"/>
                              <w:b/>
                            </w:rPr>
                            <w:t>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12882418" wp14:editId="0BDD704F">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7E9AA" w14:textId="77777777" w:rsidR="00127624" w:rsidRDefault="00127624" w:rsidP="00127624">
                                <w:pPr>
                                  <w:jc w:val="center"/>
                                  <w:rPr>
                                    <w:rFonts w:ascii="Century" w:hAnsi="Century"/>
                                    <w:b/>
                                    <w:sz w:val="30"/>
                                    <w:szCs w:val="30"/>
                                  </w:rPr>
                                </w:pPr>
                                <w:r>
                                  <w:rPr>
                                    <w:rFonts w:ascii="Century" w:hAnsi="Century"/>
                                    <w:b/>
                                    <w:sz w:val="30"/>
                                    <w:szCs w:val="30"/>
                                  </w:rPr>
                                  <w:t xml:space="preserve">SECRETARÍA GENERAL DEL </w:t>
                                </w:r>
                              </w:p>
                              <w:p w14:paraId="08FBEC50" w14:textId="77777777" w:rsidR="00127624" w:rsidRPr="00A63A96" w:rsidRDefault="00127624" w:rsidP="00127624">
                                <w:pPr>
                                  <w:jc w:val="center"/>
                                  <w:rPr>
                                    <w:rFonts w:ascii="Century" w:hAnsi="Century"/>
                                    <w:b/>
                                    <w:sz w:val="30"/>
                                    <w:szCs w:val="30"/>
                                  </w:rPr>
                                </w:pPr>
                                <w:r>
                                  <w:rPr>
                                    <w:rFonts w:ascii="Century" w:hAnsi="Century"/>
                                    <w:b/>
                                    <w:sz w:val="30"/>
                                    <w:szCs w:val="30"/>
                                  </w:rPr>
                                  <w:t>PODER LEGISLATIVO</w:t>
                                </w:r>
                              </w:p>
                              <w:p w14:paraId="43A56C77" w14:textId="77777777" w:rsidR="00127624" w:rsidRDefault="00127624" w:rsidP="00127624">
                                <w:pPr>
                                  <w:jc w:val="center"/>
                                  <w:rPr>
                                    <w:rFonts w:ascii="Century" w:hAnsi="Century"/>
                                    <w:b/>
                                    <w:sz w:val="26"/>
                                    <w:szCs w:val="26"/>
                                  </w:rPr>
                                </w:pPr>
                              </w:p>
                              <w:p w14:paraId="3C3EDBEF" w14:textId="77777777" w:rsidR="00127624" w:rsidRDefault="00127624" w:rsidP="0012762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241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1E7E9AA" w14:textId="77777777" w:rsidR="00127624" w:rsidRDefault="00127624" w:rsidP="00127624">
                          <w:pPr>
                            <w:jc w:val="center"/>
                            <w:rPr>
                              <w:rFonts w:ascii="Century" w:hAnsi="Century"/>
                              <w:b/>
                              <w:sz w:val="30"/>
                              <w:szCs w:val="30"/>
                            </w:rPr>
                          </w:pPr>
                          <w:r>
                            <w:rPr>
                              <w:rFonts w:ascii="Century" w:hAnsi="Century"/>
                              <w:b/>
                              <w:sz w:val="30"/>
                              <w:szCs w:val="30"/>
                            </w:rPr>
                            <w:t xml:space="preserve">SECRETARÍA GENERAL DEL </w:t>
                          </w:r>
                        </w:p>
                        <w:p w14:paraId="08FBEC50" w14:textId="77777777" w:rsidR="00127624" w:rsidRPr="00A63A96" w:rsidRDefault="00127624" w:rsidP="00127624">
                          <w:pPr>
                            <w:jc w:val="center"/>
                            <w:rPr>
                              <w:rFonts w:ascii="Century" w:hAnsi="Century"/>
                              <w:b/>
                              <w:sz w:val="30"/>
                              <w:szCs w:val="30"/>
                            </w:rPr>
                          </w:pPr>
                          <w:r>
                            <w:rPr>
                              <w:rFonts w:ascii="Century" w:hAnsi="Century"/>
                              <w:b/>
                              <w:sz w:val="30"/>
                              <w:szCs w:val="30"/>
                            </w:rPr>
                            <w:t>PODER LEGISLATIVO</w:t>
                          </w:r>
                        </w:p>
                        <w:p w14:paraId="43A56C77" w14:textId="77777777" w:rsidR="00127624" w:rsidRDefault="00127624" w:rsidP="00127624">
                          <w:pPr>
                            <w:jc w:val="center"/>
                            <w:rPr>
                              <w:rFonts w:ascii="Century" w:hAnsi="Century"/>
                              <w:b/>
                              <w:sz w:val="26"/>
                              <w:szCs w:val="26"/>
                            </w:rPr>
                          </w:pPr>
                        </w:p>
                        <w:p w14:paraId="3C3EDBEF" w14:textId="77777777" w:rsidR="00127624" w:rsidRDefault="00127624" w:rsidP="0012762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492A3408" wp14:editId="731AEC9F">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5DA18" w14:textId="7F51E9C9" w:rsidR="00127624" w:rsidRPr="00D1489C" w:rsidRDefault="00127624" w:rsidP="00127624">
                                <w:pPr>
                                  <w:pStyle w:val="NormalWeb"/>
                                  <w:spacing w:before="0" w:after="0" w:line="360" w:lineRule="auto"/>
                                  <w:jc w:val="center"/>
                                  <w:rPr>
                                    <w:b/>
                                    <w:sz w:val="60"/>
                                    <w:szCs w:val="60"/>
                                  </w:rPr>
                                </w:pPr>
                                <w:r>
                                  <w:rPr>
                                    <w:rFonts w:ascii="Tahoma" w:hAnsi="Tahoma" w:cs="Tahoma"/>
                                    <w:b/>
                                    <w:sz w:val="60"/>
                                    <w:szCs w:val="60"/>
                                  </w:rPr>
                                  <w:t>LEY DE INGRESOS DEL MUNICIPIO DE MÉRIDA, YUCATÁN, PARA EL EJERCICIO FISCAL 202</w:t>
                                </w:r>
                                <w:r>
                                  <w:rPr>
                                    <w:rFonts w:ascii="Tahoma" w:hAnsi="Tahoma" w:cs="Tahoma"/>
                                    <w:b/>
                                    <w:sz w:val="60"/>
                                    <w:szCs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A340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FA5DA18" w14:textId="7F51E9C9" w:rsidR="00127624" w:rsidRPr="00D1489C" w:rsidRDefault="00127624" w:rsidP="00127624">
                          <w:pPr>
                            <w:pStyle w:val="NormalWeb"/>
                            <w:spacing w:before="0" w:after="0" w:line="360" w:lineRule="auto"/>
                            <w:jc w:val="center"/>
                            <w:rPr>
                              <w:b/>
                              <w:sz w:val="60"/>
                              <w:szCs w:val="60"/>
                            </w:rPr>
                          </w:pPr>
                          <w:r>
                            <w:rPr>
                              <w:rFonts w:ascii="Tahoma" w:hAnsi="Tahoma" w:cs="Tahoma"/>
                              <w:b/>
                              <w:sz w:val="60"/>
                              <w:szCs w:val="60"/>
                            </w:rPr>
                            <w:t>LEY DE INGRESOS DEL MUNICIPIO DE MÉRIDA, YUCATÁN, PARA EL EJERCICIO FISCAL 202</w:t>
                          </w:r>
                          <w:r>
                            <w:rPr>
                              <w:rFonts w:ascii="Tahoma" w:hAnsi="Tahoma" w:cs="Tahoma"/>
                              <w:b/>
                              <w:sz w:val="60"/>
                              <w:szCs w:val="60"/>
                            </w:rPr>
                            <w:t>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6AF4882B" wp14:editId="4218D5E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0192" w14:textId="77777777" w:rsidR="00127624" w:rsidRDefault="00127624" w:rsidP="00127624">
                                <w:pPr>
                                  <w:jc w:val="center"/>
                                  <w:rPr>
                                    <w:rFonts w:ascii="CG Omega" w:hAnsi="CG Omega"/>
                                    <w:sz w:val="16"/>
                                  </w:rPr>
                                </w:pPr>
                                <w:r w:rsidRPr="00385D64">
                                  <w:rPr>
                                    <w:rFonts w:ascii="CG Omega" w:hAnsi="CG Omega"/>
                                    <w:sz w:val="16"/>
                                  </w:rPr>
                                  <w:object w:dxaOrig="2551" w:dyaOrig="2448" w14:anchorId="009C8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11" o:title=""/>
                                    </v:shape>
                                    <o:OLEObject Type="Embed" ProgID="Word.Picture.8" ShapeID="_x0000_i1025" DrawAspect="Content" ObjectID="_1798876565" r:id="rId12"/>
                                  </w:object>
                                </w:r>
                              </w:p>
                              <w:p w14:paraId="06F0FDCF" w14:textId="77777777" w:rsidR="00127624" w:rsidRDefault="00127624" w:rsidP="00127624">
                                <w:pPr>
                                  <w:rPr>
                                    <w:rFonts w:ascii="Tahoma" w:hAnsi="Tahoma" w:cs="Tahoma"/>
                                    <w:b/>
                                    <w:sz w:val="16"/>
                                  </w:rPr>
                                </w:pPr>
                              </w:p>
                              <w:p w14:paraId="66459CEA" w14:textId="77777777" w:rsidR="00127624" w:rsidRDefault="00127624" w:rsidP="0012762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882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FC80192" w14:textId="77777777" w:rsidR="00127624" w:rsidRDefault="00127624" w:rsidP="00127624">
                          <w:pPr>
                            <w:jc w:val="center"/>
                            <w:rPr>
                              <w:rFonts w:ascii="CG Omega" w:hAnsi="CG Omega"/>
                              <w:sz w:val="16"/>
                            </w:rPr>
                          </w:pPr>
                          <w:r w:rsidRPr="00385D64">
                            <w:rPr>
                              <w:rFonts w:ascii="CG Omega" w:hAnsi="CG Omega"/>
                              <w:sz w:val="16"/>
                            </w:rPr>
                            <w:object w:dxaOrig="2551" w:dyaOrig="2448" w14:anchorId="009C85DC">
                              <v:shape id="_x0000_i1025" type="#_x0000_t75" style="width:127.5pt;height:122.25pt">
                                <v:imagedata r:id="rId11" o:title=""/>
                              </v:shape>
                              <o:OLEObject Type="Embed" ProgID="Word.Picture.8" ShapeID="_x0000_i1025" DrawAspect="Content" ObjectID="_1798876565" r:id="rId13"/>
                            </w:object>
                          </w:r>
                        </w:p>
                        <w:p w14:paraId="06F0FDCF" w14:textId="77777777" w:rsidR="00127624" w:rsidRDefault="00127624" w:rsidP="00127624">
                          <w:pPr>
                            <w:rPr>
                              <w:rFonts w:ascii="Tahoma" w:hAnsi="Tahoma" w:cs="Tahoma"/>
                              <w:b/>
                              <w:sz w:val="16"/>
                            </w:rPr>
                          </w:pPr>
                        </w:p>
                        <w:p w14:paraId="66459CEA" w14:textId="77777777" w:rsidR="00127624" w:rsidRDefault="00127624" w:rsidP="0012762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4DD3CC20" wp14:editId="514AB81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D5986"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6102E23" w14:textId="77777777" w:rsidR="00127624" w:rsidRDefault="00127624" w:rsidP="00127624">
          <w:pPr>
            <w:spacing w:after="0"/>
            <w:rPr>
              <w:rFonts w:ascii="Arial" w:hAnsi="Arial" w:cs="Arial"/>
              <w:b/>
              <w:bCs/>
            </w:rPr>
          </w:pPr>
        </w:p>
        <w:p w14:paraId="58921140" w14:textId="05965144" w:rsidR="00127624" w:rsidRDefault="00127624" w:rsidP="00127624">
          <w:pPr>
            <w:spacing w:after="0"/>
            <w:jc w:val="center"/>
            <w:rPr>
              <w:rFonts w:ascii="Arial" w:hAnsi="Arial" w:cs="Arial"/>
              <w:b/>
              <w:bCs/>
            </w:rPr>
          </w:pPr>
          <w:r w:rsidRPr="00127624">
            <w:rPr>
              <w:rFonts w:ascii="Arial" w:hAnsi="Arial" w:cs="Arial"/>
              <w:b/>
              <w:bCs/>
            </w:rPr>
            <w:t>Decreto 32/2024 por el que se emite la Ley de Ingresos del Municipio de Mérida, Yucatán, para el ejercicio fiscal 2025</w:t>
          </w:r>
        </w:p>
        <w:p w14:paraId="5B24DCE4" w14:textId="77777777" w:rsidR="00127624" w:rsidRDefault="00127624" w:rsidP="00127624">
          <w:pPr>
            <w:spacing w:after="0"/>
            <w:jc w:val="both"/>
            <w:rPr>
              <w:rFonts w:ascii="Arial" w:hAnsi="Arial" w:cs="Arial"/>
              <w:b/>
              <w:bCs/>
            </w:rPr>
          </w:pPr>
        </w:p>
        <w:p w14:paraId="1AE8818E" w14:textId="76ACB83C" w:rsidR="00127624" w:rsidRPr="00127624" w:rsidRDefault="00127624" w:rsidP="00127624">
          <w:pPr>
            <w:spacing w:after="0"/>
            <w:jc w:val="both"/>
            <w:rPr>
              <w:rFonts w:ascii="Arial" w:hAnsi="Arial" w:cs="Arial"/>
            </w:rPr>
          </w:pPr>
          <w:r w:rsidRPr="00127624">
            <w:rPr>
              <w:rFonts w:ascii="Arial" w:hAnsi="Arial" w:cs="Arial"/>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25130C7" w14:textId="4B343374" w:rsidR="00127624" w:rsidRDefault="00127624" w:rsidP="00127624">
          <w:pPr>
            <w:spacing w:after="0"/>
            <w:rPr>
              <w:rFonts w:ascii="Arial" w:hAnsi="Arial" w:cs="Arial"/>
              <w:b/>
              <w:bCs/>
            </w:rPr>
          </w:pPr>
        </w:p>
      </w:sdtContent>
    </w:sdt>
    <w:p w14:paraId="5F33B806" w14:textId="4EEC1793" w:rsidR="0053353A" w:rsidRDefault="0053353A" w:rsidP="00127624">
      <w:pPr>
        <w:spacing w:after="0" w:line="240" w:lineRule="auto"/>
        <w:jc w:val="both"/>
        <w:rPr>
          <w:rFonts w:ascii="Arial" w:eastAsia="Calibri" w:hAnsi="Arial" w:cs="Arial"/>
          <w:b/>
          <w:color w:val="000000"/>
        </w:rPr>
      </w:pPr>
      <w:r w:rsidRPr="00C64B83">
        <w:rPr>
          <w:rFonts w:ascii="Arial" w:eastAsia="Calibri" w:hAnsi="Arial" w:cs="Arial"/>
          <w:b/>
          <w:color w:val="000000"/>
        </w:rPr>
        <w:t xml:space="preserve">EL CONGRESO DEL ESTADO LIBRE Y SOBERANO DE YUCATÁN, CONFORME CON LO DISPUESTO EN EL ARTÍCULO 135 DE LA CONSTITUCIÓN POLÍTICA DE LOS ESTADOS UNIDOS MEXICANOS, ASÍ COMO LOS ARTÍCULOS 29 Y 30, FRACCIÓN V DE LA CONSTITUCIÓN POLÍTICA, 18 DE LA LEY DE GOBIERNO DEL PODER LEGISLATIVO, 117, 118 Y 123 DEL REGLAMENTO DE LA LEY DE GOBIERNO DEL PODER LEGISLATIVO, ESTOS ÚLTIMOS DEL ESTADO DE YUCATÁN, EMITE </w:t>
      </w:r>
      <w:r w:rsidR="004623B3" w:rsidRPr="00C64B83">
        <w:rPr>
          <w:rFonts w:ascii="Arial" w:eastAsia="Calibri" w:hAnsi="Arial" w:cs="Arial"/>
          <w:b/>
          <w:color w:val="000000"/>
        </w:rPr>
        <w:t xml:space="preserve">LA </w:t>
      </w:r>
      <w:r w:rsidRPr="00C64B83">
        <w:rPr>
          <w:rFonts w:ascii="Arial" w:eastAsia="Calibri" w:hAnsi="Arial" w:cs="Arial"/>
          <w:b/>
          <w:color w:val="000000"/>
        </w:rPr>
        <w:t>SIGUIENTE,</w:t>
      </w:r>
    </w:p>
    <w:p w14:paraId="1B2DE22F" w14:textId="77777777" w:rsidR="00822666" w:rsidRDefault="00822666" w:rsidP="009876B8">
      <w:pPr>
        <w:spacing w:after="0" w:line="240" w:lineRule="auto"/>
        <w:jc w:val="both"/>
        <w:rPr>
          <w:rFonts w:ascii="Arial" w:eastAsia="Calibri" w:hAnsi="Arial" w:cs="Arial"/>
          <w:b/>
          <w:color w:val="000000"/>
        </w:rPr>
      </w:pPr>
    </w:p>
    <w:p w14:paraId="5123ADBF" w14:textId="77777777" w:rsidR="00822666" w:rsidRPr="00822666" w:rsidRDefault="00822666" w:rsidP="00822666">
      <w:pPr>
        <w:pStyle w:val="Sangradetextonormal"/>
        <w:spacing w:after="0" w:line="360" w:lineRule="auto"/>
        <w:jc w:val="center"/>
        <w:rPr>
          <w:rFonts w:ascii="Arial" w:hAnsi="Arial" w:cs="Arial"/>
          <w:b/>
          <w:bCs/>
          <w:sz w:val="24"/>
          <w:szCs w:val="24"/>
          <w:lang w:val="es-MX"/>
        </w:rPr>
      </w:pPr>
      <w:r w:rsidRPr="00822666">
        <w:rPr>
          <w:rFonts w:ascii="Arial" w:hAnsi="Arial" w:cs="Arial"/>
          <w:b/>
          <w:bCs/>
          <w:sz w:val="24"/>
          <w:szCs w:val="24"/>
          <w:lang w:val="es-MX"/>
        </w:rPr>
        <w:t xml:space="preserve">E X P O S I C I </w:t>
      </w:r>
      <w:proofErr w:type="spellStart"/>
      <w:r w:rsidRPr="00822666">
        <w:rPr>
          <w:rFonts w:ascii="Arial" w:hAnsi="Arial" w:cs="Arial"/>
          <w:b/>
          <w:bCs/>
          <w:sz w:val="24"/>
          <w:szCs w:val="24"/>
          <w:lang w:val="es-MX"/>
        </w:rPr>
        <w:t>Ó</w:t>
      </w:r>
      <w:proofErr w:type="spellEnd"/>
      <w:r w:rsidRPr="00822666">
        <w:rPr>
          <w:rFonts w:ascii="Arial" w:hAnsi="Arial" w:cs="Arial"/>
          <w:b/>
          <w:bCs/>
          <w:sz w:val="24"/>
          <w:szCs w:val="24"/>
          <w:lang w:val="es-MX"/>
        </w:rPr>
        <w:t xml:space="preserve"> N    D E   M O T I V O S</w:t>
      </w:r>
    </w:p>
    <w:p w14:paraId="60CD4EC7" w14:textId="77777777" w:rsidR="00822666" w:rsidRPr="00822666" w:rsidRDefault="00822666" w:rsidP="00822666">
      <w:pPr>
        <w:spacing w:after="0" w:line="360" w:lineRule="auto"/>
        <w:jc w:val="both"/>
        <w:rPr>
          <w:rFonts w:ascii="Arial" w:hAnsi="Arial" w:cs="Arial"/>
          <w:iCs/>
          <w:sz w:val="24"/>
          <w:szCs w:val="24"/>
        </w:rPr>
      </w:pPr>
    </w:p>
    <w:p w14:paraId="3F5412B1" w14:textId="77777777" w:rsidR="00822666" w:rsidRPr="00822666" w:rsidRDefault="00822666" w:rsidP="00822666">
      <w:pPr>
        <w:spacing w:after="0" w:line="360" w:lineRule="auto"/>
        <w:jc w:val="both"/>
        <w:rPr>
          <w:rFonts w:ascii="Arial" w:hAnsi="Arial" w:cs="Arial"/>
          <w:sz w:val="24"/>
          <w:szCs w:val="24"/>
        </w:rPr>
      </w:pPr>
      <w:r w:rsidRPr="00822666">
        <w:rPr>
          <w:rFonts w:ascii="Arial" w:hAnsi="Arial" w:cs="Arial"/>
          <w:b/>
          <w:iCs/>
          <w:sz w:val="24"/>
          <w:szCs w:val="24"/>
        </w:rPr>
        <w:t xml:space="preserve">PRIMERA. </w:t>
      </w:r>
      <w:r w:rsidRPr="00822666">
        <w:rPr>
          <w:rFonts w:ascii="Arial" w:hAnsi="Arial" w:cs="Arial"/>
          <w:sz w:val="24"/>
          <w:szCs w:val="24"/>
        </w:rPr>
        <w:t xml:space="preserve">La iniciativa que se dictamina ha sido abordada bajo la óptica contenida en la jerarquía normativa y atento a lo señalado en los artículos 115 fracción IV de la Constitución Política de los Estados Unidos Mexicanos, así como lo estipulado en los correspondientes 77 y 82 fracción II ambos de la Constitución Política del Estado de Yucatán; sin menoscabo de lo normado en el 41 inciso c) fracción XI de la Ley de Gobierno de los Municipios del Estado de Yucatán. </w:t>
      </w:r>
    </w:p>
    <w:p w14:paraId="175DE772" w14:textId="77777777" w:rsidR="00822666" w:rsidRPr="00822666" w:rsidRDefault="00822666" w:rsidP="00822666">
      <w:pPr>
        <w:spacing w:after="0" w:line="360" w:lineRule="auto"/>
        <w:jc w:val="both"/>
        <w:rPr>
          <w:rFonts w:ascii="Arial" w:hAnsi="Arial" w:cs="Arial"/>
          <w:sz w:val="24"/>
          <w:szCs w:val="24"/>
        </w:rPr>
      </w:pPr>
    </w:p>
    <w:p w14:paraId="0884BD69"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Lo citado en el párrafo que antecede nos ayuda a establecer con certeza que los municipios, dada su autonomía municipal, administrarán libremente su hacienda, misma que se forma por los rendimientos de aquellos bienes que les pertenezcan, así como de las contribuciones y otros ingresos que las legislaturas estales establezcan a su favor para la captación de recursos. </w:t>
      </w:r>
    </w:p>
    <w:p w14:paraId="67631313" w14:textId="77777777" w:rsidR="00822666" w:rsidRPr="00822666" w:rsidRDefault="00822666" w:rsidP="00822666">
      <w:pPr>
        <w:spacing w:after="0" w:line="360" w:lineRule="auto"/>
        <w:ind w:firstLine="709"/>
        <w:jc w:val="both"/>
        <w:rPr>
          <w:rFonts w:ascii="Arial" w:hAnsi="Arial" w:cs="Arial"/>
          <w:sz w:val="24"/>
          <w:szCs w:val="24"/>
        </w:rPr>
      </w:pPr>
    </w:p>
    <w:p w14:paraId="5EDFA701"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Ahora bien tales características en la conformación hacendaria, las cuales quedan sujetas a la ley, son por mandato constitucional necesariamente aprobadas y </w:t>
      </w:r>
      <w:r w:rsidRPr="00822666">
        <w:rPr>
          <w:rFonts w:ascii="Arial" w:hAnsi="Arial" w:cs="Arial"/>
          <w:sz w:val="24"/>
          <w:szCs w:val="24"/>
        </w:rPr>
        <w:lastRenderedPageBreak/>
        <w:t xml:space="preserve">decretadas en las leyes de ingresos, de ahí que el Congreso estatal tenga la facultad para aprobarlas velando, respetando y tomando en consideración la autonomía que debe prevalecer en la división de poderes, especialmente de la independencia que gozan los ayuntamientos al proponer la proyección en cuanto a recaudación pues de ella dependerá la prestación de servicios al gobernado.  </w:t>
      </w:r>
    </w:p>
    <w:p w14:paraId="4516A8CE" w14:textId="77777777" w:rsidR="00822666" w:rsidRPr="00822666" w:rsidRDefault="00822666" w:rsidP="00822666">
      <w:pPr>
        <w:spacing w:after="0" w:line="360" w:lineRule="auto"/>
        <w:ind w:firstLine="709"/>
        <w:jc w:val="both"/>
        <w:rPr>
          <w:rFonts w:ascii="Arial" w:hAnsi="Arial" w:cs="Arial"/>
          <w:sz w:val="24"/>
          <w:szCs w:val="24"/>
        </w:rPr>
      </w:pPr>
    </w:p>
    <w:p w14:paraId="1156BFB4"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Con antelación hemos hecho referencia al contexto jurídico, y a fin de brindar sustento al documento que se expide se precisa recalcar que </w:t>
      </w:r>
      <w:proofErr w:type="gramStart"/>
      <w:r w:rsidRPr="00822666">
        <w:rPr>
          <w:rFonts w:ascii="Arial" w:hAnsi="Arial" w:cs="Arial"/>
          <w:sz w:val="24"/>
          <w:szCs w:val="24"/>
        </w:rPr>
        <w:t>la el</w:t>
      </w:r>
      <w:proofErr w:type="gramEnd"/>
      <w:r w:rsidRPr="00822666">
        <w:rPr>
          <w:rFonts w:ascii="Arial" w:hAnsi="Arial" w:cs="Arial"/>
          <w:sz w:val="24"/>
          <w:szCs w:val="24"/>
        </w:rPr>
        <w:t xml:space="preserve"> estado mexicano en el multicitado artículo 115 constitucional define como base de la división territorial y organización política de las entidades federativas al Municipio, el cual representa el primer orden de gobierno con la ciudadanía. </w:t>
      </w:r>
    </w:p>
    <w:p w14:paraId="48052033" w14:textId="77777777" w:rsidR="00822666" w:rsidRPr="00822666" w:rsidRDefault="00822666" w:rsidP="00822666">
      <w:pPr>
        <w:spacing w:after="0" w:line="360" w:lineRule="auto"/>
        <w:ind w:firstLine="709"/>
        <w:jc w:val="both"/>
        <w:rPr>
          <w:rFonts w:ascii="Arial" w:hAnsi="Arial" w:cs="Arial"/>
          <w:sz w:val="24"/>
          <w:szCs w:val="24"/>
        </w:rPr>
      </w:pPr>
    </w:p>
    <w:p w14:paraId="07B12D22"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Por tanto, bajo una connotación jurídica, el municipio se halla plasmado como imperativo de organización política, administrativa y territorial de las entidades federativas; aseverándose que es una institución la cual se puede analizar como objeto de derechos y obligaciones pues produce efectos jurídicos, esto es, crea, modifica, transmite o extingue derechos y obligaciones.</w:t>
      </w:r>
    </w:p>
    <w:p w14:paraId="331D1458" w14:textId="77777777" w:rsidR="00822666" w:rsidRPr="00822666" w:rsidRDefault="00822666" w:rsidP="00822666">
      <w:pPr>
        <w:spacing w:after="0" w:line="360" w:lineRule="auto"/>
        <w:ind w:firstLine="709"/>
        <w:jc w:val="both"/>
        <w:rPr>
          <w:rFonts w:ascii="Arial" w:hAnsi="Arial" w:cs="Arial"/>
          <w:sz w:val="24"/>
          <w:szCs w:val="24"/>
        </w:rPr>
      </w:pPr>
    </w:p>
    <w:p w14:paraId="7DA24723"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Por tanto, para que exista el objeto del derecho, se requiere que existan sujetos que se puedan relacionar con motivo del objeto, además que exista orden jurídico que regule las relaciones jurídicas de estos sujetos, en este caso la presente ley de ingresos. </w:t>
      </w:r>
    </w:p>
    <w:p w14:paraId="558FFB61" w14:textId="77777777" w:rsidR="00822666" w:rsidRPr="00822666" w:rsidRDefault="00822666" w:rsidP="00822666">
      <w:pPr>
        <w:spacing w:after="0" w:line="360" w:lineRule="auto"/>
        <w:ind w:firstLine="709"/>
        <w:jc w:val="both"/>
        <w:rPr>
          <w:rFonts w:ascii="Arial" w:hAnsi="Arial" w:cs="Arial"/>
          <w:sz w:val="24"/>
          <w:szCs w:val="24"/>
        </w:rPr>
      </w:pPr>
    </w:p>
    <w:p w14:paraId="0FABA736" w14:textId="77777777" w:rsidR="00822666" w:rsidRPr="00822666" w:rsidRDefault="00822666" w:rsidP="00822666">
      <w:pPr>
        <w:spacing w:after="0" w:line="360" w:lineRule="auto"/>
        <w:jc w:val="both"/>
        <w:rPr>
          <w:rFonts w:ascii="Arial" w:hAnsi="Arial" w:cs="Arial"/>
          <w:sz w:val="24"/>
          <w:szCs w:val="24"/>
          <w:shd w:val="clear" w:color="auto" w:fill="FFFFFF"/>
        </w:rPr>
      </w:pPr>
      <w:r w:rsidRPr="00822666">
        <w:rPr>
          <w:rFonts w:ascii="Arial" w:hAnsi="Arial" w:cs="Arial"/>
          <w:b/>
          <w:bCs/>
          <w:sz w:val="24"/>
          <w:szCs w:val="24"/>
        </w:rPr>
        <w:t xml:space="preserve">SEGUNDA. </w:t>
      </w:r>
      <w:r w:rsidRPr="00822666">
        <w:rPr>
          <w:rFonts w:ascii="Arial" w:hAnsi="Arial" w:cs="Arial"/>
          <w:bCs/>
          <w:sz w:val="24"/>
          <w:szCs w:val="24"/>
        </w:rPr>
        <w:t>Tal como se ha expresado, al considerar que el primer orden de gobierno es</w:t>
      </w:r>
      <w:r w:rsidRPr="00822666">
        <w:rPr>
          <w:rFonts w:ascii="Arial" w:hAnsi="Arial" w:cs="Arial"/>
          <w:b/>
          <w:bCs/>
          <w:sz w:val="24"/>
          <w:szCs w:val="24"/>
        </w:rPr>
        <w:t xml:space="preserve"> </w:t>
      </w:r>
      <w:r w:rsidRPr="00822666">
        <w:rPr>
          <w:rFonts w:ascii="Arial" w:hAnsi="Arial" w:cs="Arial"/>
          <w:sz w:val="24"/>
          <w:szCs w:val="24"/>
          <w:lang w:eastAsia="es-MX"/>
        </w:rPr>
        <w:t xml:space="preserve">susceptible de derechos y obligaciones, por </w:t>
      </w:r>
      <w:proofErr w:type="gramStart"/>
      <w:r w:rsidRPr="00822666">
        <w:rPr>
          <w:rFonts w:ascii="Arial" w:hAnsi="Arial" w:cs="Arial"/>
          <w:sz w:val="24"/>
          <w:szCs w:val="24"/>
          <w:lang w:eastAsia="es-MX"/>
        </w:rPr>
        <w:t>ende</w:t>
      </w:r>
      <w:proofErr w:type="gramEnd"/>
      <w:r w:rsidRPr="00822666">
        <w:rPr>
          <w:rFonts w:ascii="Arial" w:hAnsi="Arial" w:cs="Arial"/>
          <w:sz w:val="24"/>
          <w:szCs w:val="24"/>
          <w:lang w:eastAsia="es-MX"/>
        </w:rPr>
        <w:t xml:space="preserve"> tiene personalidad y esta proviene, precisamente del artículo 115 de la Carta Magna en su fracción II; de ahí que valga la pena resaltar que esa aptitud de ser sujeto de derechos y obligaciones </w:t>
      </w:r>
      <w:r w:rsidRPr="00822666">
        <w:rPr>
          <w:rFonts w:ascii="Arial" w:hAnsi="Arial" w:cs="Arial"/>
          <w:sz w:val="24"/>
          <w:szCs w:val="24"/>
          <w:shd w:val="clear" w:color="auto" w:fill="FFFFFF"/>
        </w:rPr>
        <w:t xml:space="preserve">nos </w:t>
      </w:r>
      <w:r w:rsidRPr="00822666">
        <w:rPr>
          <w:rFonts w:ascii="Arial" w:hAnsi="Arial" w:cs="Arial"/>
          <w:sz w:val="24"/>
          <w:szCs w:val="24"/>
          <w:shd w:val="clear" w:color="auto" w:fill="FFFFFF"/>
        </w:rPr>
        <w:lastRenderedPageBreak/>
        <w:t>permite afirmar que las personas jurídicas son, en estricto sentido, un producto del derecho, y sólo existen en razón de él y su reconocimiento.</w:t>
      </w:r>
    </w:p>
    <w:p w14:paraId="473A7678" w14:textId="77777777" w:rsidR="00822666" w:rsidRPr="00822666" w:rsidRDefault="00822666" w:rsidP="00822666">
      <w:pPr>
        <w:spacing w:after="0" w:line="360" w:lineRule="auto"/>
        <w:ind w:firstLine="709"/>
        <w:jc w:val="both"/>
        <w:rPr>
          <w:rFonts w:ascii="Arial" w:hAnsi="Arial" w:cs="Arial"/>
          <w:sz w:val="24"/>
          <w:szCs w:val="24"/>
          <w:shd w:val="clear" w:color="auto" w:fill="FFFFFF"/>
        </w:rPr>
      </w:pPr>
    </w:p>
    <w:p w14:paraId="28DFA7BF" w14:textId="77777777" w:rsidR="00822666" w:rsidRPr="00822666" w:rsidRDefault="00822666" w:rsidP="00822666">
      <w:pPr>
        <w:spacing w:after="0" w:line="360" w:lineRule="auto"/>
        <w:ind w:firstLine="709"/>
        <w:jc w:val="both"/>
        <w:rPr>
          <w:rFonts w:ascii="Arial" w:hAnsi="Arial" w:cs="Arial"/>
          <w:sz w:val="24"/>
          <w:szCs w:val="24"/>
          <w:shd w:val="clear" w:color="auto" w:fill="FFFFFF"/>
        </w:rPr>
      </w:pPr>
      <w:r w:rsidRPr="00822666">
        <w:rPr>
          <w:rFonts w:ascii="Arial" w:hAnsi="Arial" w:cs="Arial"/>
          <w:sz w:val="24"/>
          <w:szCs w:val="24"/>
          <w:shd w:val="clear" w:color="auto" w:fill="FFFFFF"/>
        </w:rPr>
        <w:t xml:space="preserve"> Bajo tales argumentos, las relaciones nacidas de un orden gubernamental, a la luz del reconocimiento de ley, son el producto abstracto del derecho, y como tal, se les permite cumplir los objetivos trazados por sus miembros en un sistema organizado.</w:t>
      </w:r>
      <w:bookmarkStart w:id="0" w:name="P8"/>
      <w:bookmarkEnd w:id="0"/>
      <w:r w:rsidRPr="00822666">
        <w:rPr>
          <w:rStyle w:val="Refdenotaalpie"/>
          <w:rFonts w:ascii="Arial" w:hAnsi="Arial" w:cs="Arial"/>
          <w:sz w:val="24"/>
          <w:szCs w:val="24"/>
          <w:shd w:val="clear" w:color="auto" w:fill="FFFFFF"/>
        </w:rPr>
        <w:footnoteReference w:id="1"/>
      </w:r>
      <w:r w:rsidRPr="00822666">
        <w:rPr>
          <w:rFonts w:ascii="Arial" w:hAnsi="Arial" w:cs="Arial"/>
          <w:sz w:val="24"/>
          <w:szCs w:val="24"/>
          <w:shd w:val="clear" w:color="auto" w:fill="FFFFFF"/>
        </w:rPr>
        <w:t xml:space="preserve"> </w:t>
      </w:r>
    </w:p>
    <w:p w14:paraId="27330F2C" w14:textId="77777777" w:rsidR="00822666" w:rsidRPr="00822666" w:rsidRDefault="00822666" w:rsidP="00822666">
      <w:pPr>
        <w:spacing w:after="0" w:line="360" w:lineRule="auto"/>
        <w:ind w:firstLine="709"/>
        <w:jc w:val="both"/>
        <w:rPr>
          <w:rFonts w:ascii="Arial" w:hAnsi="Arial" w:cs="Arial"/>
          <w:sz w:val="24"/>
          <w:szCs w:val="24"/>
          <w:lang w:eastAsia="es-MX"/>
        </w:rPr>
      </w:pPr>
    </w:p>
    <w:p w14:paraId="6CD9DB15"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Así, el </w:t>
      </w:r>
      <w:r w:rsidRPr="00822666">
        <w:rPr>
          <w:rFonts w:ascii="Arial" w:hAnsi="Arial" w:cs="Arial"/>
          <w:sz w:val="24"/>
          <w:szCs w:val="24"/>
          <w:lang w:eastAsia="es-MX"/>
        </w:rPr>
        <w:t>municipio es una persona jurídica de derecho público que regula su estructura y funcionamiento por lo dispuesto en la constitución federal, la particular de una entidad, y al mismo tiempo bajo una ley orgánica, todo ello para reconocerle atributos</w:t>
      </w:r>
      <w:r w:rsidRPr="00822666">
        <w:rPr>
          <w:rStyle w:val="Refdenotaalpie"/>
          <w:rFonts w:ascii="Arial" w:hAnsi="Arial" w:cs="Arial"/>
          <w:sz w:val="24"/>
          <w:szCs w:val="24"/>
          <w:lang w:eastAsia="es-MX"/>
        </w:rPr>
        <w:footnoteReference w:id="2"/>
      </w:r>
      <w:r w:rsidRPr="00822666">
        <w:rPr>
          <w:rFonts w:ascii="Arial" w:hAnsi="Arial" w:cs="Arial"/>
          <w:sz w:val="24"/>
          <w:szCs w:val="24"/>
          <w:lang w:eastAsia="es-MX"/>
        </w:rPr>
        <w:t>, que para el presente dictamen interesan:</w:t>
      </w:r>
    </w:p>
    <w:p w14:paraId="7CB69522" w14:textId="77777777" w:rsidR="00822666" w:rsidRPr="00822666" w:rsidRDefault="00822666" w:rsidP="00822666">
      <w:pPr>
        <w:spacing w:after="0" w:line="360" w:lineRule="auto"/>
        <w:ind w:firstLine="709"/>
        <w:jc w:val="both"/>
        <w:rPr>
          <w:rFonts w:ascii="Arial" w:hAnsi="Arial" w:cs="Arial"/>
          <w:sz w:val="24"/>
          <w:szCs w:val="24"/>
        </w:rPr>
      </w:pPr>
    </w:p>
    <w:p w14:paraId="038437C2"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Elemento patrimonial: El municipio cuenta con lo que se llama Hacienda Municipal. Que es el conjunto de derechos susceptibles de ser valuados pecuniariamente y que dispone para cumplir sus fines.</w:t>
      </w:r>
    </w:p>
    <w:p w14:paraId="025BD171" w14:textId="77777777" w:rsidR="00822666" w:rsidRPr="00822666" w:rsidRDefault="00822666" w:rsidP="00822666">
      <w:pPr>
        <w:spacing w:after="0" w:line="360" w:lineRule="auto"/>
        <w:ind w:left="720"/>
        <w:jc w:val="both"/>
        <w:rPr>
          <w:rFonts w:ascii="Arial" w:hAnsi="Arial" w:cs="Arial"/>
          <w:iCs/>
          <w:sz w:val="24"/>
          <w:szCs w:val="24"/>
        </w:rPr>
      </w:pPr>
    </w:p>
    <w:p w14:paraId="177E85DD"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w:t>
      </w:r>
    </w:p>
    <w:p w14:paraId="6BE23066" w14:textId="77777777" w:rsidR="00822666" w:rsidRPr="00822666" w:rsidRDefault="00822666" w:rsidP="00822666">
      <w:pPr>
        <w:spacing w:after="0" w:line="360" w:lineRule="auto"/>
        <w:jc w:val="both"/>
        <w:rPr>
          <w:rFonts w:ascii="Arial" w:hAnsi="Arial" w:cs="Arial"/>
          <w:iCs/>
          <w:sz w:val="24"/>
          <w:szCs w:val="24"/>
        </w:rPr>
      </w:pPr>
    </w:p>
    <w:p w14:paraId="5F67A3FA"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Objeto: El municipio tiene su objeto bien precisado, servir de base a la división territorial y organización política y administrativa de los estados que integran la federación.</w:t>
      </w:r>
    </w:p>
    <w:p w14:paraId="260A8F74" w14:textId="77777777" w:rsidR="00822666" w:rsidRPr="00822666" w:rsidRDefault="00822666" w:rsidP="00822666">
      <w:pPr>
        <w:spacing w:after="0" w:line="360" w:lineRule="auto"/>
        <w:textAlignment w:val="baseline"/>
        <w:rPr>
          <w:rFonts w:ascii="Arial" w:hAnsi="Arial" w:cs="Arial"/>
          <w:sz w:val="24"/>
          <w:szCs w:val="24"/>
        </w:rPr>
      </w:pPr>
    </w:p>
    <w:p w14:paraId="7E2E229D"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Con base a los atributos constitucionales previamente descrito, los suscritos legisladores debemos atender al elemento patrimonial del municipio, es decir, la manera en que habrán de recaudarse los recursos públicos a fin de darle viabilidad financiera a sus metas contenidas en su </w:t>
      </w:r>
      <w:r w:rsidRPr="00822666">
        <w:rPr>
          <w:rFonts w:ascii="Arial" w:hAnsi="Arial" w:cs="Arial"/>
          <w:bCs/>
          <w:i/>
          <w:sz w:val="24"/>
          <w:szCs w:val="24"/>
        </w:rPr>
        <w:t xml:space="preserve">Plan Municipal de Desarrollo, </w:t>
      </w:r>
      <w:r w:rsidRPr="00822666">
        <w:rPr>
          <w:rFonts w:ascii="Arial" w:hAnsi="Arial" w:cs="Arial"/>
          <w:bCs/>
          <w:sz w:val="24"/>
          <w:szCs w:val="24"/>
        </w:rPr>
        <w:t xml:space="preserve">y </w:t>
      </w:r>
      <w:proofErr w:type="gramStart"/>
      <w:r w:rsidRPr="00822666">
        <w:rPr>
          <w:rFonts w:ascii="Arial" w:hAnsi="Arial" w:cs="Arial"/>
          <w:bCs/>
          <w:sz w:val="24"/>
          <w:szCs w:val="24"/>
        </w:rPr>
        <w:t>que</w:t>
      </w:r>
      <w:proofErr w:type="gramEnd"/>
      <w:r w:rsidRPr="00822666">
        <w:rPr>
          <w:rFonts w:ascii="Arial" w:hAnsi="Arial" w:cs="Arial"/>
          <w:bCs/>
          <w:sz w:val="24"/>
          <w:szCs w:val="24"/>
        </w:rPr>
        <w:t xml:space="preserve"> de manera corresponsable, este poder público toma como base para el dictamen que se analiza. </w:t>
      </w:r>
    </w:p>
    <w:p w14:paraId="4AF2DA32"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61A97F10"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En este sentido, se resalta que el primer orden de gobierno, haciendo uso de su autonomía, posee libertad del manejo de su hacienda, de ahí que la Carta Magna, tal y como se ha dicho, se formará de los rendimientos de los bienes que les pertenezcan, así como de las contribuciones y otros ingresos que las legislaturas establezcan. Tal facultad implica fundamentalmente la idea de recursos económicos, esto es del numerario con el que cuenta la municipalidad para proveer a su propia existencia y para atender sus funciones, por lo tanto, la ley de ingresos perfecciona su respectiva hacienda pública y directamente a robustecer el patrimonio. </w:t>
      </w:r>
    </w:p>
    <w:p w14:paraId="3E7C6CEB"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466B409F"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Asimismo, es innegable el espíritu del artículo 115 Constitucional, a la luz de una interpretación teleológica, nos dice que su finalidad es lograr que las haciendas municipales se fortalezcan económicamente, con base en su autonomía municipal, a fin de que puedan enfrentar las atribuciones y obligaciones que le corresponden como prestador de los servicios básicos a la población. De ahí que considerar un cambio a las leyes que incidan directamente en las normas de la recaudación municipal, no trata de limitar o invadir su actuación respecto a sus ingresos, por el </w:t>
      </w:r>
      <w:proofErr w:type="gramStart"/>
      <w:r w:rsidRPr="00822666">
        <w:rPr>
          <w:rFonts w:ascii="Arial" w:hAnsi="Arial" w:cs="Arial"/>
          <w:bCs/>
          <w:sz w:val="24"/>
          <w:szCs w:val="24"/>
        </w:rPr>
        <w:t>contrario</w:t>
      </w:r>
      <w:proofErr w:type="gramEnd"/>
      <w:r w:rsidRPr="00822666">
        <w:rPr>
          <w:rFonts w:ascii="Arial" w:hAnsi="Arial" w:cs="Arial"/>
          <w:bCs/>
          <w:sz w:val="24"/>
          <w:szCs w:val="24"/>
        </w:rPr>
        <w:t xml:space="preserve"> son congruentes con su finalidad. </w:t>
      </w:r>
    </w:p>
    <w:p w14:paraId="1B9AF805"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23298CA5"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Sobre el particular, es vital citar las reflexiones del Pleno del máximo tribunal de nuestro país en la tesis del rubro, </w:t>
      </w:r>
      <w:r w:rsidRPr="00822666">
        <w:rPr>
          <w:rFonts w:ascii="Arial" w:hAnsi="Arial" w:cs="Arial"/>
          <w:b/>
          <w:bCs/>
          <w:i/>
          <w:sz w:val="24"/>
          <w:szCs w:val="24"/>
        </w:rPr>
        <w:t xml:space="preserve">“ORDEN JURÍDICO MUNICIPAL. PRINCIPIO DE </w:t>
      </w:r>
      <w:r w:rsidRPr="00822666">
        <w:rPr>
          <w:rFonts w:ascii="Arial" w:hAnsi="Arial" w:cs="Arial"/>
          <w:b/>
          <w:bCs/>
          <w:i/>
          <w:sz w:val="24"/>
          <w:szCs w:val="24"/>
        </w:rPr>
        <w:lastRenderedPageBreak/>
        <w:t>COMPETENCIA (MUNICIPIOS COMO ÓRGANOS DE GOBIERNO)”</w:t>
      </w:r>
      <w:r w:rsidRPr="00822666">
        <w:rPr>
          <w:rStyle w:val="Refdenotaalpie"/>
          <w:rFonts w:ascii="Arial" w:hAnsi="Arial" w:cs="Arial"/>
          <w:b/>
          <w:bCs/>
          <w:i/>
          <w:sz w:val="24"/>
          <w:szCs w:val="24"/>
        </w:rPr>
        <w:footnoteReference w:id="3"/>
      </w:r>
      <w:r w:rsidRPr="00822666">
        <w:rPr>
          <w:rFonts w:ascii="Arial" w:hAnsi="Arial" w:cs="Arial"/>
          <w:b/>
          <w:bCs/>
          <w:i/>
          <w:sz w:val="24"/>
          <w:szCs w:val="24"/>
        </w:rPr>
        <w:t xml:space="preserve">. </w:t>
      </w:r>
      <w:r w:rsidRPr="00822666">
        <w:rPr>
          <w:rFonts w:ascii="Arial" w:hAnsi="Arial" w:cs="Arial"/>
          <w:bCs/>
          <w:sz w:val="24"/>
          <w:szCs w:val="24"/>
        </w:rPr>
        <w:t>De ahí que los lineamientos dictaminados, como bases generales por esta LXIV legislatura local respeten el contenido constitucionalmente acotado, y que permitan regular respetando la autonomía de los aspectos específicos municipales en el ámbito de sus competencias.</w:t>
      </w:r>
    </w:p>
    <w:p w14:paraId="0C054B98"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4231BBCB"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No menos importante es que se considere necesario adoptar las decisiones que se estimen congruentes con las peculiaridades sociales, económicas, biogeográficas, poblacionales, culturales y urbanísticas del Municipio de Mérida para hacerlas viables en todos sus ámbitos de desarrollo. </w:t>
      </w:r>
    </w:p>
    <w:p w14:paraId="08FE2FB8"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1A795893" w14:textId="77777777" w:rsidR="00822666" w:rsidRPr="00822666" w:rsidRDefault="00822666" w:rsidP="00822666">
      <w:pPr>
        <w:widowControl w:val="0"/>
        <w:autoSpaceDE w:val="0"/>
        <w:autoSpaceDN w:val="0"/>
        <w:adjustRightInd w:val="0"/>
        <w:spacing w:after="0" w:line="360" w:lineRule="auto"/>
        <w:ind w:firstLine="708"/>
        <w:jc w:val="both"/>
        <w:rPr>
          <w:rFonts w:ascii="Arial" w:hAnsi="Arial" w:cs="Arial"/>
          <w:bCs/>
          <w:sz w:val="24"/>
          <w:szCs w:val="24"/>
        </w:rPr>
      </w:pPr>
      <w:r w:rsidRPr="00822666">
        <w:rPr>
          <w:rFonts w:ascii="Arial" w:hAnsi="Arial" w:cs="Arial"/>
          <w:bCs/>
          <w:sz w:val="24"/>
          <w:szCs w:val="24"/>
        </w:rPr>
        <w:t>De acuerdo con nuestra Constitución, el artículo 31 fracción IV</w:t>
      </w:r>
      <w:r w:rsidRPr="00822666">
        <w:rPr>
          <w:rStyle w:val="Refdenotaalpie"/>
          <w:rFonts w:ascii="Arial" w:hAnsi="Arial" w:cs="Arial"/>
          <w:bCs/>
          <w:sz w:val="24"/>
          <w:szCs w:val="24"/>
        </w:rPr>
        <w:footnoteReference w:id="4"/>
      </w:r>
      <w:r w:rsidRPr="00822666">
        <w:rPr>
          <w:rFonts w:ascii="Arial" w:hAnsi="Arial" w:cs="Arial"/>
          <w:bCs/>
          <w:sz w:val="24"/>
          <w:szCs w:val="24"/>
        </w:rPr>
        <w:t xml:space="preserve">, señala que la potestad tributaria se divide en la Federación, los Estados y los Municipios, donde la potestad tributaria es entendida como la facultad jurídica del Estado de exigir contribuciones con respecto a personas, bienes o actos que se hallan o se realicen en su jurisdicción. </w:t>
      </w:r>
    </w:p>
    <w:p w14:paraId="3C47B1C1" w14:textId="77777777" w:rsidR="00822666" w:rsidRPr="00822666" w:rsidRDefault="00822666" w:rsidP="00822666">
      <w:pPr>
        <w:widowControl w:val="0"/>
        <w:autoSpaceDE w:val="0"/>
        <w:autoSpaceDN w:val="0"/>
        <w:adjustRightInd w:val="0"/>
        <w:spacing w:after="0" w:line="360" w:lineRule="auto"/>
        <w:ind w:firstLine="708"/>
        <w:jc w:val="both"/>
        <w:rPr>
          <w:rFonts w:ascii="Arial" w:hAnsi="Arial" w:cs="Arial"/>
          <w:bCs/>
          <w:sz w:val="24"/>
          <w:szCs w:val="24"/>
        </w:rPr>
      </w:pPr>
    </w:p>
    <w:p w14:paraId="257B155A"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 xml:space="preserve">Bajo tal argumento el poder tributario al ser una facultad otorgada a través de la Constitución, mediante el cual, a través de una selección de objetivos socioeconómicos, se obtienen medios para alcanzarlos y por ende realizar las erogaciones con base a una gestión de los recursos patrimoniales; por tanto, se </w:t>
      </w:r>
      <w:r w:rsidRPr="00822666">
        <w:rPr>
          <w:rFonts w:ascii="Arial" w:hAnsi="Arial" w:cs="Arial"/>
          <w:bCs/>
          <w:sz w:val="24"/>
          <w:szCs w:val="24"/>
        </w:rPr>
        <w:lastRenderedPageBreak/>
        <w:t xml:space="preserve">aprecia como tareas fundamentales que el Estado debe cumplir como parte de su carácter administrador y financiero. </w:t>
      </w:r>
    </w:p>
    <w:p w14:paraId="7DEEE82C"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p>
    <w:p w14:paraId="514DCEF4"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 xml:space="preserve">Para ello,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 </w:t>
      </w:r>
    </w:p>
    <w:p w14:paraId="310940EE"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p>
    <w:p w14:paraId="4B0CBF94"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Refuerzan lo anterior los criterios emitidos por la primera sala de la Suprema Corte de Justicia de la Nación, en el rubro denominado “</w:t>
      </w:r>
      <w:r w:rsidRPr="00822666">
        <w:rPr>
          <w:rFonts w:ascii="Arial" w:hAnsi="Arial" w:cs="Arial"/>
          <w:b/>
          <w:bCs/>
          <w:i/>
          <w:sz w:val="24"/>
          <w:szCs w:val="24"/>
        </w:rPr>
        <w:t>HACIENDA MUNICIPAL. PRINCIPIOS, DERECHOS Y FACULTADES EN ESA MATERIA, PREVISTOS EN EL ARTÍCULO 115, FRACCIÓN IV, DE LA CONSTITUCIÓN POLÍTICA DE LOS ESTADOS UNIDOS MEXICANOS”</w:t>
      </w:r>
      <w:r w:rsidRPr="00822666">
        <w:rPr>
          <w:rStyle w:val="Refdenotaalpie"/>
          <w:rFonts w:ascii="Arial" w:hAnsi="Arial" w:cs="Arial"/>
          <w:b/>
          <w:bCs/>
          <w:i/>
          <w:sz w:val="24"/>
          <w:szCs w:val="24"/>
        </w:rPr>
        <w:footnoteReference w:id="5"/>
      </w:r>
      <w:r w:rsidRPr="00822666">
        <w:rPr>
          <w:rFonts w:ascii="Arial" w:hAnsi="Arial" w:cs="Arial"/>
          <w:bCs/>
          <w:sz w:val="24"/>
          <w:szCs w:val="24"/>
        </w:rPr>
        <w:t xml:space="preserve">. Sin duda la tesis citada es definitiva y obligatoria para observar la libertad hacendaria municipal y por ende hace la presente iniciativa acorde con los diversos principios, derechos y facultades de contenido económico, financiero y tributario a favor del municipio de Mérida en aras del fortalecimiento de su autonomía. </w:t>
      </w:r>
    </w:p>
    <w:p w14:paraId="431E77CB" w14:textId="77777777" w:rsidR="00822666" w:rsidRPr="00822666" w:rsidRDefault="00822666" w:rsidP="00822666">
      <w:pPr>
        <w:autoSpaceDN w:val="0"/>
        <w:adjustRightInd w:val="0"/>
        <w:spacing w:after="0" w:line="360" w:lineRule="auto"/>
        <w:jc w:val="both"/>
        <w:rPr>
          <w:rFonts w:ascii="Arial" w:hAnsi="Arial" w:cs="Arial"/>
          <w:bCs/>
          <w:sz w:val="24"/>
          <w:szCs w:val="24"/>
        </w:rPr>
      </w:pPr>
    </w:p>
    <w:p w14:paraId="02E67739" w14:textId="77777777" w:rsidR="00822666" w:rsidRPr="00822666" w:rsidRDefault="00822666" w:rsidP="00822666">
      <w:pPr>
        <w:autoSpaceDN w:val="0"/>
        <w:adjustRightInd w:val="0"/>
        <w:spacing w:after="0" w:line="360" w:lineRule="auto"/>
        <w:jc w:val="both"/>
        <w:rPr>
          <w:rFonts w:ascii="Arial" w:hAnsi="Arial" w:cs="Arial"/>
          <w:bCs/>
          <w:sz w:val="24"/>
          <w:szCs w:val="24"/>
        </w:rPr>
      </w:pPr>
      <w:r w:rsidRPr="00822666">
        <w:rPr>
          <w:rFonts w:ascii="Arial" w:hAnsi="Arial" w:cs="Arial"/>
          <w:b/>
          <w:bCs/>
          <w:sz w:val="24"/>
          <w:szCs w:val="24"/>
        </w:rPr>
        <w:t xml:space="preserve">TERCERA. </w:t>
      </w:r>
      <w:r w:rsidRPr="00822666">
        <w:rPr>
          <w:rFonts w:ascii="Arial" w:hAnsi="Arial" w:cs="Arial"/>
          <w:bCs/>
          <w:sz w:val="24"/>
          <w:szCs w:val="24"/>
        </w:rPr>
        <w:t>En este apartado,</w:t>
      </w:r>
      <w:r w:rsidRPr="00822666">
        <w:rPr>
          <w:rFonts w:ascii="Arial" w:hAnsi="Arial" w:cs="Arial"/>
          <w:b/>
          <w:bCs/>
          <w:sz w:val="24"/>
          <w:szCs w:val="24"/>
        </w:rPr>
        <w:t xml:space="preserve"> </w:t>
      </w:r>
      <w:r w:rsidRPr="00822666">
        <w:rPr>
          <w:rFonts w:ascii="Arial" w:hAnsi="Arial" w:cs="Arial"/>
          <w:bCs/>
          <w:sz w:val="24"/>
          <w:szCs w:val="24"/>
        </w:rPr>
        <w:t>se desarrolla lo respectivo a fin de analizar la iniciativa de Ley de Ingresos del Municipio de Mérida, pues es evidente que ante el inminente cambio de año ésta deba actualizarse como parte de sus facultades de su recaudación tributaria.</w:t>
      </w:r>
    </w:p>
    <w:p w14:paraId="5E787C54"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4F468C51"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r w:rsidRPr="00822666">
        <w:rPr>
          <w:rFonts w:ascii="Arial" w:hAnsi="Arial" w:cs="Arial"/>
          <w:sz w:val="24"/>
          <w:szCs w:val="24"/>
        </w:rPr>
        <w:lastRenderedPageBreak/>
        <w:t xml:space="preserve">Por lo tanto, corresponde al Congreso Estatal, a través de la emisión de este acto legislativo, completar dicha voluntad de las autoridades del municipio pues precisamente, en este proceso, es decir, la presentación de la iniciativa y el dictamen respectivo, ejemplifican el pleno respeto al ideal federalista que rige al Estado Mexicano y que el Constituyente Permanente estableció para que fueran las legislaturas locales las que aprobaran las normas a favor de los ayuntamientos de una manera objetiva, congruente y racional. </w:t>
      </w:r>
    </w:p>
    <w:p w14:paraId="6081DC2F"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p>
    <w:p w14:paraId="70E8F254"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r w:rsidRPr="00822666">
        <w:rPr>
          <w:rFonts w:ascii="Arial" w:hAnsi="Arial" w:cs="Arial"/>
          <w:sz w:val="24"/>
          <w:szCs w:val="24"/>
        </w:rPr>
        <w:t xml:space="preserve">En esa lógica, </w:t>
      </w:r>
      <w:r w:rsidRPr="00822666">
        <w:rPr>
          <w:rFonts w:ascii="Arial" w:hAnsi="Arial" w:cs="Arial"/>
          <w:bCs/>
          <w:sz w:val="24"/>
          <w:szCs w:val="24"/>
        </w:rPr>
        <w:t xml:space="preserve">los autores de la iniciativa, al poner en marcha el ejercicio constitucional para proponer una nueva ley de ingresos para el ejercicio fiscal 2025, han enlistado y clarificado rubro por rubro en su contenido, del cual detallan una perspectiva integral respecto a sus ingresos. </w:t>
      </w:r>
    </w:p>
    <w:p w14:paraId="33A57900"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6E1FD1D5"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r w:rsidRPr="00822666">
        <w:rPr>
          <w:rFonts w:ascii="Arial" w:hAnsi="Arial" w:cs="Arial"/>
          <w:bCs/>
          <w:sz w:val="24"/>
          <w:szCs w:val="24"/>
        </w:rPr>
        <w:t xml:space="preserve">Contenido que guarda orden y congruencia a criterio de esta comisión permanente pues ha quedado definido el carácter fiscal y hacendario imprescindible para la viabilidad y funcionalidad de su administración municipal en torno a sus objetivos previamente establecidos en el plan de desarrollo municipal. </w:t>
      </w:r>
    </w:p>
    <w:p w14:paraId="55C1DA9A"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08EC3A76"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r w:rsidRPr="00822666">
        <w:rPr>
          <w:rFonts w:ascii="Arial" w:hAnsi="Arial" w:cs="Arial"/>
          <w:bCs/>
          <w:sz w:val="24"/>
          <w:szCs w:val="24"/>
        </w:rPr>
        <w:t xml:space="preserve">Asimismo, ha sido fundamental considerar que las acciones proyectadas se ajustan al interés público de esta soberanía, pues es básico generar instrumentos legales eficaces e idóneos que garanticen principios tales como la </w:t>
      </w:r>
      <w:r w:rsidRPr="00822666">
        <w:rPr>
          <w:rFonts w:ascii="Arial" w:hAnsi="Arial" w:cs="Arial"/>
          <w:sz w:val="24"/>
          <w:szCs w:val="24"/>
        </w:rPr>
        <w:t>autonomía y la libertad hacendaria a los que se ha hecho referencia en el cuerpo del presente dictamen. Se resalta que la ley de ingresos propuesta fue compatible con cada uno de los conceptos y contribuciones que se contemplan a recaudar durante el ejercicio fiscal para el próximo año, y que ello guarda íntima relación a lo preceptuado en el Sistema Nacional de Coordinación Fiscal, cumpliendo con todos los lineamientos actuales en materia hacendaria.</w:t>
      </w:r>
    </w:p>
    <w:p w14:paraId="698B85A6" w14:textId="77777777" w:rsidR="00822666" w:rsidRPr="00822666" w:rsidRDefault="00822666" w:rsidP="00822666">
      <w:pPr>
        <w:spacing w:after="0" w:line="360" w:lineRule="auto"/>
        <w:ind w:firstLine="708"/>
        <w:jc w:val="both"/>
        <w:rPr>
          <w:rFonts w:ascii="Arial" w:hAnsi="Arial" w:cs="Arial"/>
          <w:sz w:val="24"/>
          <w:szCs w:val="24"/>
        </w:rPr>
      </w:pPr>
    </w:p>
    <w:p w14:paraId="289327C5" w14:textId="77777777" w:rsidR="00822666" w:rsidRPr="00822666" w:rsidRDefault="00822666" w:rsidP="00822666">
      <w:pPr>
        <w:spacing w:after="0" w:line="360" w:lineRule="auto"/>
        <w:jc w:val="both"/>
        <w:rPr>
          <w:rFonts w:ascii="Arial" w:hAnsi="Arial" w:cs="Arial"/>
          <w:sz w:val="24"/>
          <w:szCs w:val="24"/>
        </w:rPr>
      </w:pPr>
      <w:r w:rsidRPr="00822666">
        <w:rPr>
          <w:rFonts w:ascii="Arial" w:hAnsi="Arial" w:cs="Arial"/>
          <w:b/>
          <w:sz w:val="24"/>
          <w:szCs w:val="24"/>
        </w:rPr>
        <w:tab/>
      </w:r>
      <w:r w:rsidRPr="00822666">
        <w:rPr>
          <w:rFonts w:ascii="Arial" w:hAnsi="Arial" w:cs="Arial"/>
          <w:sz w:val="24"/>
          <w:szCs w:val="24"/>
        </w:rPr>
        <w:t xml:space="preserve">No menos importante es señalar que la iniciativa fue presentada en tiempo y forma a esta soberanía, posterior a su aprobación dentro del cabildo; y en ella se detalla a cabalidad y de forma por demás clara cada uno de los ingresos a través de los cuales el ayuntamiento podrá fortalecer las arcas municipales, a fin de cumplir con el mandato constitucional y social que ha emprendido para el trienio. </w:t>
      </w:r>
    </w:p>
    <w:p w14:paraId="30696AB6" w14:textId="77777777" w:rsidR="00822666" w:rsidRPr="00822666" w:rsidRDefault="00822666" w:rsidP="00822666">
      <w:pPr>
        <w:spacing w:after="0" w:line="360" w:lineRule="auto"/>
        <w:jc w:val="both"/>
        <w:rPr>
          <w:rFonts w:ascii="Arial" w:hAnsi="Arial" w:cs="Arial"/>
          <w:sz w:val="24"/>
          <w:szCs w:val="24"/>
        </w:rPr>
      </w:pPr>
    </w:p>
    <w:p w14:paraId="572FA028"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Es menester hacer mención que la ley propuesta para la capital del </w:t>
      </w:r>
      <w:proofErr w:type="gramStart"/>
      <w:r w:rsidRPr="00822666">
        <w:rPr>
          <w:rFonts w:ascii="Arial" w:hAnsi="Arial" w:cs="Arial"/>
          <w:sz w:val="24"/>
          <w:szCs w:val="24"/>
        </w:rPr>
        <w:t>Estado,</w:t>
      </w:r>
      <w:proofErr w:type="gramEnd"/>
      <w:r w:rsidRPr="00822666">
        <w:rPr>
          <w:rFonts w:ascii="Arial" w:hAnsi="Arial" w:cs="Arial"/>
          <w:sz w:val="24"/>
          <w:szCs w:val="24"/>
        </w:rPr>
        <w:t xml:space="preserve"> se encuentra en armonía y congruencia con los principios de legalidad, certeza y seguridad jurídica, resaltando la transparencia en la recaudación con los que hará frente a los retos que para el próximo año siendo precavido incluso con los riesgos administrativos que pudiere enfrentar en el caso de sus obligaciones.</w:t>
      </w:r>
    </w:p>
    <w:p w14:paraId="592008C7" w14:textId="77777777" w:rsidR="00822666" w:rsidRPr="00822666" w:rsidRDefault="00822666" w:rsidP="00822666">
      <w:pPr>
        <w:spacing w:after="0" w:line="360" w:lineRule="auto"/>
        <w:jc w:val="both"/>
        <w:rPr>
          <w:rFonts w:ascii="Arial" w:hAnsi="Arial" w:cs="Arial"/>
          <w:sz w:val="24"/>
          <w:szCs w:val="24"/>
        </w:rPr>
      </w:pPr>
    </w:p>
    <w:p w14:paraId="3CFDA9DD" w14:textId="77777777" w:rsidR="00822666" w:rsidRPr="00822666" w:rsidRDefault="00822666" w:rsidP="00822666">
      <w:pPr>
        <w:tabs>
          <w:tab w:val="left" w:pos="-720"/>
        </w:tabs>
        <w:suppressAutoHyphens/>
        <w:spacing w:after="0" w:line="360" w:lineRule="auto"/>
        <w:jc w:val="both"/>
        <w:rPr>
          <w:rFonts w:ascii="Arial" w:hAnsi="Arial" w:cs="Arial"/>
          <w:spacing w:val="-3"/>
          <w:sz w:val="24"/>
          <w:szCs w:val="24"/>
        </w:rPr>
      </w:pPr>
      <w:r w:rsidRPr="00822666">
        <w:rPr>
          <w:rFonts w:ascii="Arial" w:hAnsi="Arial" w:cs="Arial"/>
          <w:b/>
          <w:bCs/>
          <w:sz w:val="24"/>
          <w:szCs w:val="24"/>
        </w:rPr>
        <w:t>CUARTA.</w:t>
      </w:r>
      <w:r w:rsidRPr="00822666">
        <w:rPr>
          <w:rFonts w:ascii="Arial" w:hAnsi="Arial" w:cs="Arial"/>
          <w:sz w:val="24"/>
          <w:szCs w:val="24"/>
        </w:rPr>
        <w:t xml:space="preserve"> </w:t>
      </w:r>
      <w:r w:rsidRPr="00822666">
        <w:rPr>
          <w:rFonts w:ascii="Arial" w:hAnsi="Arial" w:cs="Arial"/>
          <w:bCs/>
          <w:sz w:val="24"/>
          <w:szCs w:val="24"/>
        </w:rPr>
        <w:t xml:space="preserve">En este contexto, la multicitada </w:t>
      </w:r>
      <w:r w:rsidRPr="00822666">
        <w:rPr>
          <w:rFonts w:ascii="Arial" w:hAnsi="Arial" w:cs="Arial"/>
          <w:sz w:val="24"/>
          <w:szCs w:val="24"/>
        </w:rPr>
        <w:t>Ley de Ingresos del Municipio de Mérida, en su contenido hace referencia a los denominados ingresos ordinarios siendo estos los que se perciben en forma constante y regular, integrados por impuestos, derechos, contribución de mejoras, productos, aprovechamientos, participaciones, aportaciones e ingresos extraordinarios.</w:t>
      </w:r>
    </w:p>
    <w:p w14:paraId="6A6A4884" w14:textId="77777777" w:rsidR="00822666" w:rsidRPr="00822666" w:rsidRDefault="00822666" w:rsidP="00822666">
      <w:pPr>
        <w:spacing w:after="0" w:line="360" w:lineRule="auto"/>
        <w:jc w:val="both"/>
        <w:rPr>
          <w:rFonts w:ascii="Arial" w:hAnsi="Arial" w:cs="Arial"/>
          <w:sz w:val="24"/>
          <w:szCs w:val="24"/>
        </w:rPr>
      </w:pPr>
    </w:p>
    <w:p w14:paraId="0A6CE9DD" w14:textId="77777777" w:rsidR="00822666" w:rsidRPr="00822666" w:rsidRDefault="00822666" w:rsidP="00822666">
      <w:pPr>
        <w:spacing w:after="0" w:line="360" w:lineRule="auto"/>
        <w:ind w:firstLine="708"/>
        <w:jc w:val="both"/>
        <w:rPr>
          <w:rFonts w:ascii="Arial" w:hAnsi="Arial" w:cs="Arial"/>
          <w:bCs/>
          <w:sz w:val="24"/>
          <w:szCs w:val="24"/>
        </w:rPr>
      </w:pPr>
      <w:r w:rsidRPr="00822666">
        <w:rPr>
          <w:rFonts w:ascii="Arial" w:hAnsi="Arial" w:cs="Arial"/>
          <w:sz w:val="24"/>
          <w:szCs w:val="24"/>
        </w:rPr>
        <w:t xml:space="preserve">Ahora bien y con base a los argumentos vertidos a lo largo de este análisis constitucional y legal que da forma a la correspondiente Ley de Ingresos del Municipio de Mérida, para el Ejercicio Fiscal 2025, presentada por las autoridades facultadas en cuyos considerandos se expresaron los cálculos y criterios para </w:t>
      </w:r>
      <w:r w:rsidRPr="00822666">
        <w:rPr>
          <w:rFonts w:ascii="Arial" w:hAnsi="Arial" w:cs="Arial"/>
          <w:bCs/>
          <w:sz w:val="24"/>
          <w:szCs w:val="24"/>
        </w:rPr>
        <w:t xml:space="preserve">determinar los importes a percibir,  efectuándose con base a las tarifas y cuotas aprobadas en su Ley de Hacienda Municipal, montos estimados, mismos que corresponden a las cantidades que se proyectan recaudar en dicho ejercicio fiscal por cada concepto detallado y a los que tiene derecho con base a su autonomía. </w:t>
      </w:r>
    </w:p>
    <w:p w14:paraId="0F548B12" w14:textId="77777777" w:rsidR="00822666" w:rsidRPr="00822666" w:rsidRDefault="00822666" w:rsidP="00822666">
      <w:pPr>
        <w:spacing w:after="0" w:line="360" w:lineRule="auto"/>
        <w:ind w:firstLine="708"/>
        <w:jc w:val="both"/>
        <w:rPr>
          <w:rFonts w:ascii="Arial" w:hAnsi="Arial" w:cs="Arial"/>
          <w:bCs/>
          <w:sz w:val="24"/>
          <w:szCs w:val="24"/>
        </w:rPr>
      </w:pPr>
    </w:p>
    <w:p w14:paraId="3967E577"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bCs/>
          <w:sz w:val="24"/>
          <w:szCs w:val="24"/>
        </w:rPr>
        <w:t xml:space="preserve">En síntesis, en la iniciativa se destaca que el Honorable Ayuntamiento de Mérida, de manera global y con base a los rubros ha contemplado un </w:t>
      </w:r>
      <w:r w:rsidRPr="00822666">
        <w:rPr>
          <w:rFonts w:ascii="Arial" w:hAnsi="Arial" w:cs="Arial"/>
          <w:sz w:val="24"/>
          <w:szCs w:val="24"/>
        </w:rPr>
        <w:t xml:space="preserve">ingreso para el ejercicio fiscal 2025 por la cantidad de </w:t>
      </w:r>
      <w:r w:rsidRPr="00822666">
        <w:rPr>
          <w:rFonts w:ascii="Arial" w:hAnsi="Arial" w:cs="Arial"/>
          <w:b/>
          <w:bCs/>
          <w:iCs/>
          <w:sz w:val="24"/>
          <w:szCs w:val="24"/>
        </w:rPr>
        <w:t>$ 6,188,821,981.00 (seis mil ciento ochenta y ocho millones, ochocientos veintiún mil, novecientos ochenta y un pesos 00/100 M.N.)</w:t>
      </w:r>
      <w:r w:rsidRPr="00822666">
        <w:rPr>
          <w:rFonts w:ascii="Arial" w:hAnsi="Arial" w:cs="Arial"/>
          <w:bCs/>
          <w:iCs/>
          <w:sz w:val="24"/>
          <w:szCs w:val="24"/>
        </w:rPr>
        <w:t>,</w:t>
      </w:r>
      <w:r w:rsidRPr="00822666">
        <w:rPr>
          <w:rFonts w:ascii="Arial" w:hAnsi="Arial" w:cs="Arial"/>
          <w:iCs/>
          <w:sz w:val="24"/>
          <w:szCs w:val="24"/>
        </w:rPr>
        <w:t xml:space="preserve"> cantidad </w:t>
      </w:r>
      <w:r w:rsidRPr="00822666">
        <w:rPr>
          <w:rFonts w:ascii="Arial" w:hAnsi="Arial" w:cs="Arial"/>
          <w:sz w:val="24"/>
          <w:szCs w:val="24"/>
        </w:rPr>
        <w:t xml:space="preserve">que integra los conceptos de impuestos, contribuciones de mejoras, derechos, productos, aprovechamientos, participaciones y aportaciones, transferencias, asignaciones y subsidios. Se señala que dentro de su apartado denominado “Ingresos derivados de Financiamientos”, el referido ayuntamiento no consideró necesario recibir recurso alguno. </w:t>
      </w:r>
    </w:p>
    <w:p w14:paraId="61DADB59"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241DCC5C"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Como ha quedado evidenciado, el presente documento legislativo, en cuyo contenido se dictamina una nueva ley de ingresos se han ponderado las necesidades básicas y fundamentales del municipio, por tanto, es necesario implementar un régimen recaudatorio óptimo de cara a una política hacendaria con base a los principios constitucionales. </w:t>
      </w:r>
    </w:p>
    <w:p w14:paraId="2635B5E6"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758FEF2D"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En este tenor, quienes integramos este cuerpo de decisión, estamos conscientes de que la gestión pública municipal constituye uno de los eslabones fundamentales de la relación entre el gobierno y los ciudadanos, siendo éstos los que se benefician de servicios públicos innovadores y de vanguardia. Por lo que es impostergable sumar esfuerzos para el diseño de políticas públicas nacidas y generadas por una legislación fuerte con el firme objetivo de lograr la satisfacción de las necesidades más sensibles y próximas a la ciudadanía. </w:t>
      </w:r>
    </w:p>
    <w:p w14:paraId="2DD77B26"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3E9C2690"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Por todo lo expuesto y fundado, los diputados integrantes de esta Comisión Permanente de Presupuesto, Patrimonio Estatal y Municipal, consideramos viable la </w:t>
      </w:r>
      <w:r w:rsidRPr="00822666">
        <w:rPr>
          <w:rFonts w:ascii="Arial" w:hAnsi="Arial" w:cs="Arial"/>
          <w:sz w:val="24"/>
          <w:szCs w:val="24"/>
        </w:rPr>
        <w:lastRenderedPageBreak/>
        <w:t xml:space="preserve">iniciativa en los términos en que fue presentada, haciendo votos para que la misma sea en beneficio de todos los habitantes del municipio de Mérida. </w:t>
      </w:r>
    </w:p>
    <w:p w14:paraId="07804047"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5E2E8EBA" w14:textId="77777777" w:rsidR="00822666" w:rsidRPr="00281C8F" w:rsidRDefault="00822666" w:rsidP="00822666">
      <w:pPr>
        <w:pStyle w:val="Prrafodelista"/>
        <w:spacing w:line="360" w:lineRule="auto"/>
        <w:ind w:left="0" w:firstLine="709"/>
        <w:jc w:val="both"/>
        <w:rPr>
          <w:rFonts w:ascii="Arial" w:hAnsi="Arial" w:cs="Arial"/>
        </w:rPr>
      </w:pPr>
      <w:r w:rsidRPr="00822666">
        <w:rPr>
          <w:rFonts w:ascii="Arial" w:hAnsi="Arial" w:cs="Arial"/>
          <w:sz w:val="24"/>
          <w:szCs w:val="24"/>
        </w:rPr>
        <w:t>En tal virtud y con fundamento en los artículos 115 fracción IV, inciso c), párrafo cuarto de la Constitución Política de los Estados Unidos Mexicanos, artículo 30 fracción V y VI, de la Constitución Política, y artículo 18 y 43 fracción IV, de la Ley de Gobierno del Poder Legislativo y 71 fracción II del Reglamento de la Ley de Gobierno del Poder Legislativo todas del Estado de Yucatán, sometemos a consideración del Pleno del H. Congreso del Estado de Yucatán, el siguiente proyecto de,</w:t>
      </w:r>
    </w:p>
    <w:p w14:paraId="3459CB49" w14:textId="77777777" w:rsidR="00822666" w:rsidRPr="00C64B83" w:rsidRDefault="00822666" w:rsidP="009876B8">
      <w:pPr>
        <w:spacing w:after="0" w:line="240" w:lineRule="auto"/>
        <w:jc w:val="both"/>
        <w:rPr>
          <w:rFonts w:ascii="Arial" w:eastAsia="Calibri" w:hAnsi="Arial" w:cs="Arial"/>
          <w:b/>
          <w:color w:val="000000"/>
        </w:rPr>
      </w:pPr>
    </w:p>
    <w:p w14:paraId="3971935C" w14:textId="3D7C6EB0" w:rsidR="00822666" w:rsidRDefault="00127624" w:rsidP="00127624">
      <w:pPr>
        <w:spacing w:after="0" w:line="240" w:lineRule="auto"/>
        <w:rPr>
          <w:rFonts w:ascii="Arial" w:eastAsia="Calibri" w:hAnsi="Arial" w:cs="Arial"/>
          <w:b/>
        </w:rPr>
      </w:pPr>
      <w:r>
        <w:rPr>
          <w:rFonts w:ascii="Arial" w:eastAsia="Calibri" w:hAnsi="Arial" w:cs="Arial"/>
          <w:b/>
          <w:color w:val="000000"/>
        </w:rPr>
        <w:br w:type="column"/>
      </w:r>
    </w:p>
    <w:p w14:paraId="40F1C80F" w14:textId="552F0983"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t>LEY DE INGRESOS DEL MUNICIPIO DE MÉRIDA, YUCATÁN,</w:t>
      </w:r>
    </w:p>
    <w:p w14:paraId="1694BB86" w14:textId="77777777"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t>PARA EL EJERCICIO FISCAL 2025</w:t>
      </w:r>
    </w:p>
    <w:p w14:paraId="62EAAF83" w14:textId="77777777" w:rsidR="0011199F" w:rsidRPr="00C64B83" w:rsidRDefault="0011199F" w:rsidP="00127624">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605C1865" w14:textId="77777777"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t xml:space="preserve">TÍTULO PRIMERO </w:t>
      </w:r>
    </w:p>
    <w:p w14:paraId="4820B26F"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 xml:space="preserve">DISPOSICIONES GENERALES </w:t>
      </w:r>
    </w:p>
    <w:p w14:paraId="296A1AB3" w14:textId="77777777" w:rsidR="0011199F" w:rsidRPr="00C64B83" w:rsidRDefault="0011199F" w:rsidP="00127624">
      <w:pPr>
        <w:spacing w:after="0" w:line="240" w:lineRule="auto"/>
        <w:jc w:val="center"/>
        <w:rPr>
          <w:rFonts w:ascii="Arial" w:eastAsia="Calibri" w:hAnsi="Arial" w:cs="Arial"/>
          <w:snapToGrid w:val="0"/>
        </w:rPr>
      </w:pPr>
    </w:p>
    <w:p w14:paraId="668F1EB7" w14:textId="77777777" w:rsidR="0011199F" w:rsidRPr="00C64B83" w:rsidRDefault="0011199F" w:rsidP="0073387B">
      <w:pPr>
        <w:spacing w:after="0" w:line="360" w:lineRule="auto"/>
        <w:jc w:val="center"/>
        <w:rPr>
          <w:rFonts w:ascii="Arial" w:eastAsia="Calibri" w:hAnsi="Arial" w:cs="Arial"/>
          <w:snapToGrid w:val="0"/>
        </w:rPr>
      </w:pPr>
      <w:r w:rsidRPr="00C64B83">
        <w:rPr>
          <w:rFonts w:ascii="Arial" w:eastAsia="Calibri" w:hAnsi="Arial" w:cs="Arial"/>
          <w:b/>
          <w:snapToGrid w:val="0"/>
        </w:rPr>
        <w:t xml:space="preserve">CAPÍTULO PRIMERO </w:t>
      </w:r>
    </w:p>
    <w:p w14:paraId="1B9A3C95"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De la naturaleza y objeto de la ley</w:t>
      </w:r>
    </w:p>
    <w:p w14:paraId="0712DB67" w14:textId="77777777" w:rsidR="0011199F" w:rsidRPr="00C64B83" w:rsidRDefault="0011199F" w:rsidP="0073387B">
      <w:pPr>
        <w:spacing w:after="0" w:line="240" w:lineRule="auto"/>
        <w:jc w:val="center"/>
        <w:rPr>
          <w:rFonts w:ascii="Arial" w:eastAsia="Calibri" w:hAnsi="Arial" w:cs="Arial"/>
          <w:b/>
          <w:snapToGrid w:val="0"/>
        </w:rPr>
      </w:pPr>
    </w:p>
    <w:p w14:paraId="7977A587"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1. </w:t>
      </w:r>
      <w:r w:rsidRPr="00C64B83">
        <w:rPr>
          <w:rFonts w:ascii="Arial" w:hAnsi="Arial" w:cs="Arial"/>
        </w:rPr>
        <w:t xml:space="preserve">La presente Ley es de orden público y de interés social, y tiene por objeto establecer los ingresos que permitan el financiamiento de los gastos públicos establecidos y autorizados en el Presupuesto de Egresos del Municipio de Mérida, así como en lo dispuesto en los convenios de coordinación y en las leyes en que se fundamenten. </w:t>
      </w:r>
    </w:p>
    <w:p w14:paraId="7E162533" w14:textId="77777777" w:rsidR="0011199F" w:rsidRPr="00C64B83" w:rsidRDefault="0011199F" w:rsidP="0073387B">
      <w:pPr>
        <w:spacing w:after="0" w:line="360" w:lineRule="auto"/>
        <w:jc w:val="both"/>
        <w:rPr>
          <w:rFonts w:ascii="Arial" w:eastAsia="Calibri" w:hAnsi="Arial" w:cs="Arial"/>
          <w:b/>
          <w:snapToGrid w:val="0"/>
        </w:rPr>
      </w:pPr>
    </w:p>
    <w:p w14:paraId="329E0ACB"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2. </w:t>
      </w:r>
      <w:r w:rsidRPr="00C64B83">
        <w:rPr>
          <w:rFonts w:ascii="Arial" w:hAnsi="Arial" w:cs="Arial"/>
        </w:rPr>
        <w:t xml:space="preserve">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Mérida, tuvieren bienes o celebren actos que surtan efectos en el mismo, están obligadas a contribuir para los gastos públicos de la manera que se determina en la presente Ley, en </w:t>
      </w:r>
      <w:smartTag w:uri="urn:schemas-microsoft-com:office:smarttags" w:element="PersonName">
        <w:smartTagPr>
          <w:attr w:name="ProductID" w:val="la Ley"/>
        </w:smartTagPr>
        <w:r w:rsidRPr="00C64B83">
          <w:rPr>
            <w:rFonts w:ascii="Arial" w:hAnsi="Arial" w:cs="Arial"/>
          </w:rPr>
          <w:t>la Ley</w:t>
        </w:r>
      </w:smartTag>
      <w:r w:rsidRPr="00C64B83">
        <w:rPr>
          <w:rFonts w:ascii="Arial" w:hAnsi="Arial" w:cs="Arial"/>
        </w:rPr>
        <w:t xml:space="preserve"> de Hacienda del Municipio de Mérida, en el Código Fiscal del Estado de Yucatán y en los demás ordenamientos fiscales de carácter local y federal. </w:t>
      </w:r>
    </w:p>
    <w:p w14:paraId="7410CB8F" w14:textId="77777777" w:rsidR="0011199F" w:rsidRPr="00C64B83" w:rsidRDefault="0011199F" w:rsidP="00127624">
      <w:pPr>
        <w:spacing w:after="0" w:line="240" w:lineRule="auto"/>
        <w:jc w:val="both"/>
        <w:rPr>
          <w:rFonts w:ascii="Arial" w:hAnsi="Arial" w:cs="Arial"/>
        </w:rPr>
      </w:pPr>
    </w:p>
    <w:p w14:paraId="435E2788"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CAPÍTULO SEGUNDO</w:t>
      </w:r>
    </w:p>
    <w:p w14:paraId="0E1F6C8B" w14:textId="77777777" w:rsidR="0011199F" w:rsidRPr="00C64B83" w:rsidRDefault="0011199F" w:rsidP="00127624">
      <w:pPr>
        <w:spacing w:after="0" w:line="240" w:lineRule="auto"/>
        <w:jc w:val="center"/>
        <w:rPr>
          <w:rFonts w:ascii="Arial" w:eastAsia="Calibri" w:hAnsi="Arial" w:cs="Arial"/>
          <w:b/>
          <w:snapToGrid w:val="0"/>
        </w:rPr>
      </w:pPr>
      <w:r w:rsidRPr="00C64B83">
        <w:rPr>
          <w:rFonts w:ascii="Arial" w:eastAsia="Calibri" w:hAnsi="Arial" w:cs="Arial"/>
          <w:b/>
          <w:snapToGrid w:val="0"/>
        </w:rPr>
        <w:t>De los Conceptos de Ingreso y su Pronóstico</w:t>
      </w:r>
    </w:p>
    <w:p w14:paraId="6693C5B1" w14:textId="77777777" w:rsidR="0011199F" w:rsidRPr="00C64B83" w:rsidRDefault="0011199F" w:rsidP="00127624">
      <w:pPr>
        <w:spacing w:after="0" w:line="240" w:lineRule="auto"/>
        <w:jc w:val="center"/>
        <w:rPr>
          <w:rFonts w:ascii="Arial" w:eastAsia="Calibri" w:hAnsi="Arial" w:cs="Arial"/>
          <w:b/>
          <w:snapToGrid w:val="0"/>
        </w:rPr>
      </w:pPr>
    </w:p>
    <w:p w14:paraId="4E141627"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Artículo 3.</w:t>
      </w:r>
      <w:r w:rsidRPr="00C64B83">
        <w:rPr>
          <w:rFonts w:ascii="Arial" w:eastAsia="Calibri" w:hAnsi="Arial" w:cs="Arial"/>
          <w:snapToGrid w:val="0"/>
        </w:rPr>
        <w:t xml:space="preserve"> </w:t>
      </w:r>
      <w:r w:rsidRPr="00C64B83">
        <w:rPr>
          <w:rFonts w:ascii="Arial" w:hAnsi="Arial" w:cs="Arial"/>
        </w:rPr>
        <w:t xml:space="preserve">Los ingresos que el Municipio de Mérida percibirá durante el ejercicio fiscal 2025 serán los provenientes de los rubros, tipos y en las cantidades estimadas en pesos, que a continuación se enumeran: </w:t>
      </w:r>
    </w:p>
    <w:p w14:paraId="73A2C3DC" w14:textId="77777777" w:rsidR="0011199F" w:rsidRPr="00C64B83" w:rsidRDefault="0011199F" w:rsidP="0011199F">
      <w:pPr>
        <w:jc w:val="both"/>
        <w:rPr>
          <w:rFonts w:ascii="Arial" w:hAnsi="Arial" w:cs="Arial"/>
        </w:rPr>
      </w:pPr>
    </w:p>
    <w:tbl>
      <w:tblPr>
        <w:tblW w:w="14886" w:type="dxa"/>
        <w:tblInd w:w="75" w:type="dxa"/>
        <w:tblCellMar>
          <w:left w:w="70" w:type="dxa"/>
          <w:right w:w="70" w:type="dxa"/>
        </w:tblCellMar>
        <w:tblLook w:val="04A0" w:firstRow="1" w:lastRow="0" w:firstColumn="1" w:lastColumn="0" w:noHBand="0" w:noVBand="1"/>
      </w:tblPr>
      <w:tblGrid>
        <w:gridCol w:w="300"/>
        <w:gridCol w:w="8"/>
        <w:gridCol w:w="552"/>
        <w:gridCol w:w="24"/>
        <w:gridCol w:w="645"/>
        <w:gridCol w:w="50"/>
        <w:gridCol w:w="70"/>
        <w:gridCol w:w="23"/>
        <w:gridCol w:w="41"/>
        <w:gridCol w:w="17"/>
        <w:gridCol w:w="17"/>
        <w:gridCol w:w="196"/>
        <w:gridCol w:w="5519"/>
        <w:gridCol w:w="1889"/>
        <w:gridCol w:w="2119"/>
        <w:gridCol w:w="1808"/>
        <w:gridCol w:w="1608"/>
      </w:tblGrid>
      <w:tr w:rsidR="0011199F" w:rsidRPr="00D133CB" w14:paraId="78FC2901"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tcPr>
          <w:p w14:paraId="4640CC21" w14:textId="77777777" w:rsidR="0011199F" w:rsidRPr="00D133CB" w:rsidRDefault="0011199F" w:rsidP="00C65354">
            <w:pPr>
              <w:jc w:val="center"/>
              <w:rPr>
                <w:rFonts w:ascii="Arial" w:hAnsi="Arial" w:cs="Arial"/>
                <w:b/>
                <w:bCs/>
                <w:sz w:val="19"/>
                <w:szCs w:val="19"/>
              </w:rPr>
            </w:pPr>
          </w:p>
        </w:tc>
        <w:tc>
          <w:tcPr>
            <w:tcW w:w="7058" w:type="dxa"/>
            <w:gridSpan w:val="11"/>
            <w:tcBorders>
              <w:top w:val="single" w:sz="4" w:space="0" w:color="auto"/>
              <w:left w:val="nil"/>
              <w:bottom w:val="single" w:sz="4" w:space="0" w:color="auto"/>
              <w:right w:val="single" w:sz="4" w:space="0" w:color="auto"/>
            </w:tcBorders>
            <w:shd w:val="clear" w:color="000000" w:fill="FFFFFF"/>
            <w:noWrap/>
            <w:vAlign w:val="center"/>
          </w:tcPr>
          <w:p w14:paraId="3EE3D58C"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TOTAL (1 + 3 + 4 + 5 + 6 + 8 + 9 + 0)</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584213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 xml:space="preserve">6,188,821,981.00 </w:t>
            </w:r>
          </w:p>
        </w:tc>
      </w:tr>
      <w:tr w:rsidR="0011199F" w:rsidRPr="00D133CB" w14:paraId="174A5A90"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CBDF143"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1</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DDD98B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9397F2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nil"/>
            </w:tcBorders>
            <w:shd w:val="clear" w:color="000000" w:fill="FFFFFF"/>
            <w:noWrap/>
            <w:vAlign w:val="center"/>
            <w:hideMark/>
          </w:tcPr>
          <w:p w14:paraId="0DD0A62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23674"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6FBA4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2,496,346,021.00</w:t>
            </w:r>
          </w:p>
        </w:tc>
      </w:tr>
      <w:tr w:rsidR="0011199F" w:rsidRPr="00D133CB" w14:paraId="1611EECD" w14:textId="77777777" w:rsidTr="00C65354">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A810A3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3710FB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1.11</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0375648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99E88F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1F8C06C"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Impuestos sobre los ingresos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FAC98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13,186,777.00</w:t>
            </w:r>
          </w:p>
        </w:tc>
      </w:tr>
      <w:tr w:rsidR="0011199F" w:rsidRPr="00D133CB" w14:paraId="4A33A44F"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902EF2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109CE23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6D9E286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1.11.1</w:t>
            </w:r>
          </w:p>
        </w:tc>
        <w:tc>
          <w:tcPr>
            <w:tcW w:w="196" w:type="dxa"/>
            <w:tcBorders>
              <w:top w:val="single" w:sz="4" w:space="0" w:color="auto"/>
              <w:left w:val="nil"/>
              <w:bottom w:val="single" w:sz="4" w:space="0" w:color="auto"/>
              <w:right w:val="nil"/>
            </w:tcBorders>
            <w:shd w:val="clear" w:color="000000" w:fill="FFFFFF"/>
            <w:noWrap/>
            <w:vAlign w:val="center"/>
            <w:hideMark/>
          </w:tcPr>
          <w:p w14:paraId="6781A10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B9C06"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sobre Espectáculos y Diversiones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6D968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13,186,777.00</w:t>
            </w:r>
          </w:p>
        </w:tc>
      </w:tr>
      <w:tr w:rsidR="0011199F" w:rsidRPr="00D133CB" w14:paraId="27E3A6D4" w14:textId="77777777" w:rsidTr="00C65354">
        <w:trPr>
          <w:gridAfter w:val="3"/>
          <w:wAfter w:w="5535" w:type="dxa"/>
          <w:trHeight w:val="48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A33558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5E65B6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1.12</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7F15246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6922805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BA1C232"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Impuestos sobre el patrimonio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7A3F465"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1,269,342,762.00</w:t>
            </w:r>
          </w:p>
        </w:tc>
      </w:tr>
      <w:tr w:rsidR="0011199F" w:rsidRPr="00D133CB" w14:paraId="0B4B0E1B"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383C83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51A4BE7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382BEF4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1.12.1</w:t>
            </w:r>
          </w:p>
        </w:tc>
        <w:tc>
          <w:tcPr>
            <w:tcW w:w="196" w:type="dxa"/>
            <w:tcBorders>
              <w:top w:val="single" w:sz="4" w:space="0" w:color="auto"/>
              <w:left w:val="nil"/>
              <w:bottom w:val="single" w:sz="4" w:space="0" w:color="auto"/>
              <w:right w:val="nil"/>
            </w:tcBorders>
            <w:shd w:val="clear" w:color="000000" w:fill="FFFFFF"/>
            <w:noWrap/>
            <w:vAlign w:val="center"/>
            <w:hideMark/>
          </w:tcPr>
          <w:p w14:paraId="0887C0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9670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Predial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F3428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1,269,342,762.00</w:t>
            </w:r>
          </w:p>
        </w:tc>
      </w:tr>
      <w:tr w:rsidR="0011199F" w:rsidRPr="00D133CB" w14:paraId="0FED449F" w14:textId="77777777" w:rsidTr="00C65354">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968E0F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78B8F0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1.13</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2FFA6F2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35864DA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C5E0BDB"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Impuestos sobre la producción, el consumo y las transacciones</w:t>
            </w:r>
          </w:p>
        </w:tc>
        <w:tc>
          <w:tcPr>
            <w:tcW w:w="1985" w:type="dxa"/>
            <w:tcBorders>
              <w:left w:val="nil"/>
              <w:bottom w:val="single" w:sz="4" w:space="0" w:color="auto"/>
              <w:right w:val="single" w:sz="4" w:space="0" w:color="auto"/>
            </w:tcBorders>
            <w:shd w:val="clear" w:color="000000" w:fill="FFFFFF"/>
            <w:vAlign w:val="center"/>
            <w:hideMark/>
          </w:tcPr>
          <w:p w14:paraId="3EF9CAF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1,120,000,000.00</w:t>
            </w:r>
          </w:p>
        </w:tc>
      </w:tr>
      <w:tr w:rsidR="0011199F" w:rsidRPr="00D133CB" w14:paraId="4444D279"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C6E532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4F785B9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75E0BE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1.13.1</w:t>
            </w:r>
          </w:p>
        </w:tc>
        <w:tc>
          <w:tcPr>
            <w:tcW w:w="196" w:type="dxa"/>
            <w:tcBorders>
              <w:top w:val="single" w:sz="4" w:space="0" w:color="auto"/>
              <w:left w:val="nil"/>
              <w:bottom w:val="single" w:sz="4" w:space="0" w:color="auto"/>
              <w:right w:val="nil"/>
            </w:tcBorders>
            <w:shd w:val="clear" w:color="000000" w:fill="FFFFFF"/>
            <w:noWrap/>
            <w:vAlign w:val="center"/>
            <w:hideMark/>
          </w:tcPr>
          <w:p w14:paraId="4DFAFC7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49536"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sobre Adquisición de Inmuebles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CCF7A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1,120,000,000.00</w:t>
            </w:r>
          </w:p>
        </w:tc>
      </w:tr>
      <w:tr w:rsidR="0011199F" w:rsidRPr="00D133CB" w14:paraId="5459BC62" w14:textId="77777777" w:rsidTr="00C65354">
        <w:trPr>
          <w:gridAfter w:val="3"/>
          <w:wAfter w:w="5535" w:type="dxa"/>
          <w:trHeight w:val="5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F4B56E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850D74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1.17</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4060451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84866D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1C9D2E61"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Accesorios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508F98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93,816,482.00</w:t>
            </w:r>
          </w:p>
        </w:tc>
      </w:tr>
      <w:tr w:rsidR="0011199F" w:rsidRPr="00D133CB" w14:paraId="291A8131"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9CDD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49EE73A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BD6A5A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1.17.1</w:t>
            </w:r>
          </w:p>
        </w:tc>
        <w:tc>
          <w:tcPr>
            <w:tcW w:w="196" w:type="dxa"/>
            <w:tcBorders>
              <w:top w:val="single" w:sz="4" w:space="0" w:color="auto"/>
              <w:left w:val="nil"/>
              <w:bottom w:val="single" w:sz="4" w:space="0" w:color="auto"/>
              <w:right w:val="nil"/>
            </w:tcBorders>
            <w:shd w:val="clear" w:color="000000" w:fill="FFFFFF"/>
            <w:noWrap/>
            <w:vAlign w:val="center"/>
            <w:hideMark/>
          </w:tcPr>
          <w:p w14:paraId="549ED4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ABA2B"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Actualización de Impuestos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A5076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26,500,000.00</w:t>
            </w:r>
          </w:p>
        </w:tc>
      </w:tr>
      <w:tr w:rsidR="0011199F" w:rsidRPr="00D133CB" w14:paraId="2638663D"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8DB0F3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06E47A3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nil"/>
              <w:right w:val="nil"/>
            </w:tcBorders>
            <w:shd w:val="clear" w:color="000000" w:fill="FFFFFF"/>
            <w:noWrap/>
            <w:vAlign w:val="center"/>
            <w:hideMark/>
          </w:tcPr>
          <w:p w14:paraId="06316EE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1.17.2</w:t>
            </w:r>
          </w:p>
        </w:tc>
        <w:tc>
          <w:tcPr>
            <w:tcW w:w="196" w:type="dxa"/>
            <w:tcBorders>
              <w:top w:val="single" w:sz="4" w:space="0" w:color="auto"/>
              <w:left w:val="nil"/>
              <w:bottom w:val="nil"/>
              <w:right w:val="nil"/>
            </w:tcBorders>
            <w:shd w:val="clear" w:color="000000" w:fill="FFFFFF"/>
            <w:noWrap/>
            <w:vAlign w:val="center"/>
            <w:hideMark/>
          </w:tcPr>
          <w:p w14:paraId="3178E62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D53"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Recargos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2BAA7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67,000,000.00</w:t>
            </w:r>
          </w:p>
        </w:tc>
      </w:tr>
      <w:tr w:rsidR="0011199F" w:rsidRPr="00D133CB" w14:paraId="306D5C50"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CB6EA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703E16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18F77F9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1.17.3</w:t>
            </w:r>
          </w:p>
        </w:tc>
        <w:tc>
          <w:tcPr>
            <w:tcW w:w="196" w:type="dxa"/>
            <w:tcBorders>
              <w:top w:val="single" w:sz="4" w:space="0" w:color="auto"/>
              <w:left w:val="nil"/>
              <w:bottom w:val="single" w:sz="4" w:space="0" w:color="auto"/>
              <w:right w:val="nil"/>
            </w:tcBorders>
            <w:shd w:val="clear" w:color="000000" w:fill="FFFFFF"/>
            <w:noWrap/>
            <w:vAlign w:val="center"/>
            <w:hideMark/>
          </w:tcPr>
          <w:p w14:paraId="69E5F6C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638277A"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de Impuestos</w:t>
            </w:r>
          </w:p>
        </w:tc>
        <w:tc>
          <w:tcPr>
            <w:tcW w:w="1985" w:type="dxa"/>
            <w:tcBorders>
              <w:top w:val="nil"/>
              <w:left w:val="nil"/>
              <w:bottom w:val="single" w:sz="4" w:space="0" w:color="auto"/>
              <w:right w:val="single" w:sz="4" w:space="0" w:color="auto"/>
            </w:tcBorders>
            <w:shd w:val="clear" w:color="000000" w:fill="FFFFFF"/>
            <w:vAlign w:val="center"/>
            <w:hideMark/>
          </w:tcPr>
          <w:p w14:paraId="234F333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302,804.00 </w:t>
            </w:r>
          </w:p>
        </w:tc>
      </w:tr>
      <w:tr w:rsidR="0011199F" w:rsidRPr="00D133CB" w14:paraId="5285CFAE"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E7B48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0AA85F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785AB6A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1.17.4</w:t>
            </w:r>
          </w:p>
        </w:tc>
        <w:tc>
          <w:tcPr>
            <w:tcW w:w="196" w:type="dxa"/>
            <w:tcBorders>
              <w:top w:val="single" w:sz="4" w:space="0" w:color="auto"/>
              <w:left w:val="nil"/>
              <w:bottom w:val="single" w:sz="4" w:space="0" w:color="auto"/>
              <w:right w:val="nil"/>
            </w:tcBorders>
            <w:shd w:val="clear" w:color="000000" w:fill="FFFFFF"/>
            <w:noWrap/>
            <w:vAlign w:val="center"/>
            <w:hideMark/>
          </w:tcPr>
          <w:p w14:paraId="4B1DD21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FFB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Gastos de Ejecución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2FD18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13,678.00 </w:t>
            </w:r>
          </w:p>
        </w:tc>
      </w:tr>
      <w:tr w:rsidR="0011199F" w:rsidRPr="00D133CB" w14:paraId="2494207E" w14:textId="77777777" w:rsidTr="00C65354">
        <w:trPr>
          <w:gridAfter w:val="3"/>
          <w:wAfter w:w="5535" w:type="dxa"/>
          <w:trHeight w:val="5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27D237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5C79E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1.18</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1616570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72166D2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1676748"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F232CF"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E096E2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1AF4DD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1D497F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27AD484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1.18.1</w:t>
            </w:r>
          </w:p>
        </w:tc>
        <w:tc>
          <w:tcPr>
            <w:tcW w:w="196" w:type="dxa"/>
            <w:tcBorders>
              <w:top w:val="single" w:sz="4" w:space="0" w:color="auto"/>
              <w:left w:val="nil"/>
              <w:bottom w:val="single" w:sz="4" w:space="0" w:color="auto"/>
              <w:right w:val="nil"/>
            </w:tcBorders>
            <w:shd w:val="clear" w:color="000000" w:fill="FFFFFF"/>
            <w:noWrap/>
            <w:vAlign w:val="center"/>
            <w:hideMark/>
          </w:tcPr>
          <w:p w14:paraId="3DBA085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F78FB" w14:textId="77777777" w:rsidR="0011199F" w:rsidRPr="00D133CB" w:rsidRDefault="0011199F" w:rsidP="00C65354">
            <w:pPr>
              <w:ind w:firstLineChars="200" w:firstLine="380"/>
              <w:rPr>
                <w:rFonts w:ascii="Arial" w:hAnsi="Arial" w:cs="Arial"/>
                <w:sz w:val="19"/>
                <w:szCs w:val="19"/>
              </w:rPr>
            </w:pPr>
            <w:r w:rsidRPr="00D133CB">
              <w:rPr>
                <w:rFonts w:ascii="Arial" w:hAnsi="Arial" w:cs="Arial"/>
                <w:sz w:val="19"/>
                <w:szCs w:val="19"/>
              </w:rPr>
              <w:t xml:space="preserve">        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30FA9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C380FC3" w14:textId="77777777" w:rsidTr="00C65354">
        <w:trPr>
          <w:gridAfter w:val="3"/>
          <w:wAfter w:w="5535" w:type="dxa"/>
          <w:trHeight w:val="66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AD3DA6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C6FAF5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1.19</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3A750E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54D8CBF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1C15DF8F"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E2E2B1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1D0248BA" w14:textId="77777777" w:rsidTr="00C65354">
        <w:trPr>
          <w:gridAfter w:val="3"/>
          <w:wAfter w:w="5535" w:type="dxa"/>
          <w:trHeight w:val="8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DC16F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70E7F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0EB2C6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1.19.1</w:t>
            </w:r>
          </w:p>
        </w:tc>
        <w:tc>
          <w:tcPr>
            <w:tcW w:w="196" w:type="dxa"/>
            <w:tcBorders>
              <w:top w:val="single" w:sz="4" w:space="0" w:color="auto"/>
              <w:left w:val="nil"/>
              <w:bottom w:val="single" w:sz="4" w:space="0" w:color="auto"/>
              <w:right w:val="nil"/>
            </w:tcBorders>
            <w:shd w:val="clear" w:color="000000" w:fill="FFFFFF"/>
            <w:noWrap/>
            <w:vAlign w:val="center"/>
            <w:hideMark/>
          </w:tcPr>
          <w:p w14:paraId="7B76FC9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F4A4" w14:textId="77777777" w:rsidR="0011199F" w:rsidRPr="00D133CB" w:rsidRDefault="0011199F" w:rsidP="00C65354">
            <w:pPr>
              <w:tabs>
                <w:tab w:val="left" w:pos="675"/>
              </w:tabs>
              <w:ind w:left="675" w:hanging="1"/>
              <w:jc w:val="both"/>
              <w:rPr>
                <w:rFonts w:ascii="Arial" w:hAnsi="Arial" w:cs="Arial"/>
                <w:sz w:val="19"/>
                <w:szCs w:val="19"/>
              </w:rPr>
            </w:pPr>
            <w:r w:rsidRPr="00D133CB">
              <w:rPr>
                <w:rFonts w:ascii="Arial" w:hAnsi="Arial" w:cs="Arial"/>
                <w:sz w:val="19"/>
                <w:szCs w:val="19"/>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E9EBA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040969D" w14:textId="77777777" w:rsidTr="00C65354">
        <w:trPr>
          <w:gridAfter w:val="3"/>
          <w:wAfter w:w="5535" w:type="dxa"/>
          <w:trHeight w:val="40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BACBFFD"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2</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D4E447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2EA6921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473EF0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25DD9"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Cuotas y aportaciones de seguridad social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E272EF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w:t>
            </w:r>
          </w:p>
        </w:tc>
      </w:tr>
      <w:tr w:rsidR="0011199F" w:rsidRPr="00D133CB" w14:paraId="3822E9FD" w14:textId="77777777" w:rsidTr="00C65354">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8DECE5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369DC5A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2.21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5DB380E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65592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D1A7707"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B55080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w:t>
            </w:r>
          </w:p>
        </w:tc>
      </w:tr>
      <w:tr w:rsidR="0011199F" w:rsidRPr="00D133CB" w14:paraId="112A0B65"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E774D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1EF8DF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4E26A2F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2.21.1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3B477E5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7369C"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86D87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w:t>
            </w:r>
          </w:p>
        </w:tc>
      </w:tr>
      <w:tr w:rsidR="0011199F" w:rsidRPr="00D133CB" w14:paraId="68B59103" w14:textId="77777777" w:rsidTr="00C65354">
        <w:trPr>
          <w:gridAfter w:val="3"/>
          <w:wAfter w:w="5535" w:type="dxa"/>
          <w:trHeight w:val="39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503D8D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FA27DF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27C6EF4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15D6576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DCE2"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Contribuciones de mejoras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40B03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36544DB5" w14:textId="77777777" w:rsidTr="00C65354">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889082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5C0B188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3.31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30BA15F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E993C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34D6F41D"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Contribución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5FC6A4"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075D1542"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B35E13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D0DA0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4EE247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3.31.1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59E1098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75730"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Contribuciones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18896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2DAFB136" w14:textId="77777777" w:rsidTr="00C65354">
        <w:trPr>
          <w:gridAfter w:val="3"/>
          <w:wAfter w:w="5535" w:type="dxa"/>
          <w:trHeight w:val="8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90545B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lastRenderedPageBreak/>
              <w:t> </w:t>
            </w:r>
          </w:p>
        </w:tc>
        <w:tc>
          <w:tcPr>
            <w:tcW w:w="573" w:type="dxa"/>
            <w:gridSpan w:val="2"/>
            <w:tcBorders>
              <w:top w:val="single" w:sz="4" w:space="0" w:color="auto"/>
              <w:bottom w:val="single" w:sz="4" w:space="0" w:color="auto"/>
              <w:right w:val="nil"/>
            </w:tcBorders>
            <w:shd w:val="clear" w:color="000000" w:fill="FFFFFF"/>
            <w:noWrap/>
            <w:vAlign w:val="center"/>
            <w:hideMark/>
          </w:tcPr>
          <w:p w14:paraId="7A5054E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3.39</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76D6BA9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C169E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508B987" w14:textId="77777777" w:rsidR="0011199F" w:rsidRPr="00D133CB" w:rsidRDefault="0011199F" w:rsidP="00C65354">
            <w:pPr>
              <w:ind w:leftChars="174" w:left="383" w:firstLineChars="1" w:firstLine="2"/>
              <w:jc w:val="both"/>
              <w:rPr>
                <w:rFonts w:ascii="Arial" w:hAnsi="Arial" w:cs="Arial"/>
                <w:b/>
                <w:bCs/>
                <w:sz w:val="19"/>
                <w:szCs w:val="19"/>
              </w:rPr>
            </w:pPr>
            <w:r w:rsidRPr="00D133CB">
              <w:rPr>
                <w:rFonts w:ascii="Arial" w:hAnsi="Arial" w:cs="Arial"/>
                <w:b/>
                <w:bCs/>
                <w:sz w:val="19"/>
                <w:szCs w:val="19"/>
              </w:rPr>
              <w:t>Contribuciones de Mejoras no comprendidas en la Ley de Ingresos vigente, causadas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C25E7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9EEC5F5" w14:textId="77777777" w:rsidTr="00C65354">
        <w:trPr>
          <w:gridAfter w:val="3"/>
          <w:wAfter w:w="5535" w:type="dxa"/>
          <w:trHeight w:val="69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82E294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2DF164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nil"/>
              <w:right w:val="nil"/>
            </w:tcBorders>
            <w:shd w:val="clear" w:color="000000" w:fill="FFFFFF"/>
            <w:noWrap/>
            <w:vAlign w:val="center"/>
            <w:hideMark/>
          </w:tcPr>
          <w:p w14:paraId="20B3E8A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3.39.1</w:t>
            </w:r>
          </w:p>
        </w:tc>
        <w:tc>
          <w:tcPr>
            <w:tcW w:w="213" w:type="dxa"/>
            <w:gridSpan w:val="2"/>
            <w:tcBorders>
              <w:top w:val="single" w:sz="4" w:space="0" w:color="auto"/>
              <w:left w:val="nil"/>
              <w:bottom w:val="nil"/>
              <w:right w:val="nil"/>
            </w:tcBorders>
            <w:shd w:val="clear" w:color="000000" w:fill="FFFFFF"/>
            <w:noWrap/>
            <w:vAlign w:val="center"/>
            <w:hideMark/>
          </w:tcPr>
          <w:p w14:paraId="30F232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nil"/>
              <w:right w:val="single" w:sz="4" w:space="0" w:color="auto"/>
            </w:tcBorders>
            <w:shd w:val="clear" w:color="000000" w:fill="FFFFFF"/>
            <w:vAlign w:val="center"/>
            <w:hideMark/>
          </w:tcPr>
          <w:p w14:paraId="568849CA" w14:textId="77777777" w:rsidR="0011199F" w:rsidRPr="00D133CB" w:rsidRDefault="0011199F" w:rsidP="00C65354">
            <w:pPr>
              <w:ind w:left="563"/>
              <w:jc w:val="both"/>
              <w:rPr>
                <w:rFonts w:ascii="Arial" w:hAnsi="Arial" w:cs="Arial"/>
                <w:sz w:val="19"/>
                <w:szCs w:val="19"/>
              </w:rPr>
            </w:pPr>
            <w:r w:rsidRPr="00D133CB">
              <w:rPr>
                <w:rFonts w:ascii="Arial" w:hAnsi="Arial" w:cs="Arial"/>
                <w:sz w:val="19"/>
                <w:szCs w:val="19"/>
              </w:rPr>
              <w:t>Contribuciones de Mejoras no comprendidas en la Ley de Ingresos vigente, causadas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4583BCC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6E3C91F5"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82D3EC5"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4</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ACDBB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5194414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F98931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9479"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Derechos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6FFCBD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 xml:space="preserve">343,591,242.00 </w:t>
            </w:r>
          </w:p>
        </w:tc>
      </w:tr>
      <w:tr w:rsidR="0011199F" w:rsidRPr="00D133CB" w14:paraId="6221F8E0" w14:textId="77777777" w:rsidTr="00C65354">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4B858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4F25CB6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4.41</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77F82A6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7F3C9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5A43FC84" w14:textId="77777777" w:rsidR="0011199F" w:rsidRPr="00D133CB" w:rsidRDefault="0011199F" w:rsidP="00C65354">
            <w:pPr>
              <w:ind w:left="436"/>
              <w:jc w:val="both"/>
              <w:rPr>
                <w:rFonts w:ascii="Arial" w:hAnsi="Arial" w:cs="Arial"/>
                <w:b/>
                <w:bCs/>
                <w:sz w:val="19"/>
                <w:szCs w:val="19"/>
              </w:rPr>
            </w:pPr>
            <w:r w:rsidRPr="00D133CB">
              <w:rPr>
                <w:rFonts w:ascii="Arial" w:hAnsi="Arial" w:cs="Arial"/>
                <w:b/>
                <w:bCs/>
                <w:sz w:val="19"/>
                <w:szCs w:val="19"/>
              </w:rPr>
              <w:t>Derechos por el uso, goce, aprovechamiento o explotación de bienes de dominio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D3B2C5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24,018,926.00</w:t>
            </w:r>
          </w:p>
        </w:tc>
      </w:tr>
      <w:tr w:rsidR="0011199F" w:rsidRPr="00D133CB" w14:paraId="4BA88B3D"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C55846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7C5A49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4447CC4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4.41.1</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1175C6E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D0580"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uso de locales o piso de mercados, espacios en la vía o espacios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1A9016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13,157,207.00</w:t>
            </w:r>
          </w:p>
        </w:tc>
      </w:tr>
      <w:tr w:rsidR="0011199F" w:rsidRPr="00D133CB" w14:paraId="4E405061"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BF2786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002EE0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nil"/>
              <w:right w:val="nil"/>
            </w:tcBorders>
            <w:shd w:val="clear" w:color="000000" w:fill="FFFFFF"/>
            <w:noWrap/>
            <w:vAlign w:val="center"/>
            <w:hideMark/>
          </w:tcPr>
          <w:p w14:paraId="4B7242C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4.41.2</w:t>
            </w:r>
          </w:p>
        </w:tc>
        <w:tc>
          <w:tcPr>
            <w:tcW w:w="230" w:type="dxa"/>
            <w:gridSpan w:val="3"/>
            <w:tcBorders>
              <w:top w:val="single" w:sz="4" w:space="0" w:color="auto"/>
              <w:left w:val="nil"/>
              <w:bottom w:val="nil"/>
              <w:right w:val="nil"/>
            </w:tcBorders>
            <w:shd w:val="clear" w:color="000000" w:fill="FFFFFF"/>
            <w:noWrap/>
            <w:vAlign w:val="center"/>
            <w:hideMark/>
          </w:tcPr>
          <w:p w14:paraId="7977D98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FF937"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enajenación, uso y explotación de bienes muebles e inmuebles del dominio público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68743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1,150,619.00</w:t>
            </w:r>
          </w:p>
        </w:tc>
      </w:tr>
      <w:tr w:rsidR="0011199F" w:rsidRPr="00D133CB" w14:paraId="04C1971F" w14:textId="77777777" w:rsidTr="00C65354">
        <w:trPr>
          <w:gridAfter w:val="3"/>
          <w:wAfter w:w="5535" w:type="dxa"/>
          <w:trHeight w:val="6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4587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219108F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5410A6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4.41.3</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1DDF728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2038E4D5"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otorgamiento de concesiones para el uso y aprovechamiento de superficies en los mercados municipales</w:t>
            </w:r>
          </w:p>
        </w:tc>
        <w:tc>
          <w:tcPr>
            <w:tcW w:w="1985" w:type="dxa"/>
            <w:tcBorders>
              <w:top w:val="nil"/>
              <w:left w:val="nil"/>
              <w:bottom w:val="single" w:sz="4" w:space="0" w:color="auto"/>
              <w:right w:val="single" w:sz="4" w:space="0" w:color="auto"/>
            </w:tcBorders>
            <w:shd w:val="clear" w:color="000000" w:fill="FFFFFF"/>
            <w:vAlign w:val="center"/>
            <w:hideMark/>
          </w:tcPr>
          <w:p w14:paraId="41AF7FA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7F7B4794"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CF252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2D0248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16170C9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4.41.4</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0D4ACEC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A8A0C"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uso, goce y aprovechamiento de bienes de los Panteones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BEB03A"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8,834,097.00</w:t>
            </w:r>
          </w:p>
        </w:tc>
      </w:tr>
      <w:tr w:rsidR="0011199F" w:rsidRPr="00D133CB" w14:paraId="1EF3B81A"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77606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5F3BBC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3277EF2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4.41.5</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E1D880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92402"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permisos de oferentes en programas para la promoción económica, turística y cultural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9E7069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877,003.00 </w:t>
            </w:r>
          </w:p>
        </w:tc>
      </w:tr>
      <w:tr w:rsidR="0011199F" w:rsidRPr="00D133CB" w14:paraId="44BF4A33"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6EA859B"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6E143BB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4.43</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9439BF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C4483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2148515" w14:textId="77777777" w:rsidR="0011199F" w:rsidRPr="00D133CB" w:rsidRDefault="0011199F" w:rsidP="00C65354">
            <w:pPr>
              <w:ind w:left="436"/>
              <w:jc w:val="both"/>
              <w:rPr>
                <w:rFonts w:ascii="Arial" w:hAnsi="Arial" w:cs="Arial"/>
                <w:b/>
                <w:bCs/>
                <w:sz w:val="19"/>
                <w:szCs w:val="19"/>
              </w:rPr>
            </w:pPr>
            <w:r w:rsidRPr="00D133CB">
              <w:rPr>
                <w:rFonts w:ascii="Arial" w:hAnsi="Arial" w:cs="Arial"/>
                <w:b/>
                <w:bCs/>
                <w:sz w:val="19"/>
                <w:szCs w:val="19"/>
              </w:rPr>
              <w:t xml:space="preserve">Derechos por prestación de servicios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425B8F"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159,392,389.00</w:t>
            </w:r>
          </w:p>
        </w:tc>
      </w:tr>
      <w:tr w:rsidR="0011199F" w:rsidRPr="00D133CB" w14:paraId="0EE92D7D"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98E6A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7A355D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nil"/>
              <w:left w:val="nil"/>
              <w:bottom w:val="nil"/>
              <w:right w:val="nil"/>
            </w:tcBorders>
            <w:shd w:val="clear" w:color="000000" w:fill="FFFFFF"/>
            <w:noWrap/>
            <w:vAlign w:val="center"/>
            <w:hideMark/>
          </w:tcPr>
          <w:p w14:paraId="00211B8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4.43.1</w:t>
            </w:r>
          </w:p>
        </w:tc>
        <w:tc>
          <w:tcPr>
            <w:tcW w:w="271" w:type="dxa"/>
            <w:gridSpan w:val="4"/>
            <w:tcBorders>
              <w:top w:val="nil"/>
              <w:left w:val="nil"/>
              <w:bottom w:val="nil"/>
              <w:right w:val="nil"/>
            </w:tcBorders>
            <w:shd w:val="clear" w:color="000000" w:fill="FFFFFF"/>
            <w:noWrap/>
            <w:vAlign w:val="center"/>
            <w:hideMark/>
          </w:tcPr>
          <w:p w14:paraId="112AF97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8B227A0"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servicio de agua potable y drenaje</w:t>
            </w:r>
          </w:p>
        </w:tc>
        <w:tc>
          <w:tcPr>
            <w:tcW w:w="1985" w:type="dxa"/>
            <w:tcBorders>
              <w:top w:val="nil"/>
              <w:left w:val="nil"/>
              <w:bottom w:val="single" w:sz="4" w:space="0" w:color="auto"/>
              <w:right w:val="single" w:sz="4" w:space="0" w:color="auto"/>
            </w:tcBorders>
            <w:shd w:val="clear" w:color="000000" w:fill="FFFFFF"/>
            <w:vAlign w:val="center"/>
            <w:hideMark/>
          </w:tcPr>
          <w:p w14:paraId="25A6E69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1,932,269.00 </w:t>
            </w:r>
          </w:p>
        </w:tc>
      </w:tr>
      <w:tr w:rsidR="0011199F" w:rsidRPr="00D133CB" w14:paraId="4ECD7B4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282C6D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E12E2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05994A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4.43.2</w:t>
            </w:r>
          </w:p>
        </w:tc>
        <w:tc>
          <w:tcPr>
            <w:tcW w:w="271" w:type="dxa"/>
            <w:gridSpan w:val="4"/>
            <w:tcBorders>
              <w:top w:val="single" w:sz="4" w:space="0" w:color="auto"/>
              <w:left w:val="nil"/>
              <w:bottom w:val="nil"/>
              <w:right w:val="nil"/>
            </w:tcBorders>
            <w:shd w:val="clear" w:color="000000" w:fill="FFFFFF"/>
            <w:noWrap/>
            <w:vAlign w:val="center"/>
            <w:hideMark/>
          </w:tcPr>
          <w:p w14:paraId="64D1183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449A0CDB"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servicio de alumbrado público</w:t>
            </w:r>
          </w:p>
        </w:tc>
        <w:tc>
          <w:tcPr>
            <w:tcW w:w="1985" w:type="dxa"/>
            <w:tcBorders>
              <w:top w:val="nil"/>
              <w:left w:val="nil"/>
              <w:bottom w:val="single" w:sz="4" w:space="0" w:color="auto"/>
              <w:right w:val="single" w:sz="4" w:space="0" w:color="auto"/>
            </w:tcBorders>
            <w:shd w:val="clear" w:color="000000" w:fill="FFFFFF"/>
            <w:vAlign w:val="center"/>
            <w:hideMark/>
          </w:tcPr>
          <w:p w14:paraId="64EC0D7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103,783,457.00</w:t>
            </w:r>
          </w:p>
        </w:tc>
      </w:tr>
      <w:tr w:rsidR="0011199F" w:rsidRPr="00D133CB" w14:paraId="2E99F0F1"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BFE2B1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20C871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44A487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6FCE1D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5E716DB7"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Servicio Público de Panteones</w:t>
            </w:r>
          </w:p>
        </w:tc>
        <w:tc>
          <w:tcPr>
            <w:tcW w:w="1985" w:type="dxa"/>
            <w:tcBorders>
              <w:top w:val="nil"/>
              <w:left w:val="nil"/>
              <w:bottom w:val="single" w:sz="4" w:space="0" w:color="auto"/>
              <w:right w:val="single" w:sz="4" w:space="0" w:color="auto"/>
            </w:tcBorders>
            <w:shd w:val="clear" w:color="000000" w:fill="FFFFFF"/>
            <w:vAlign w:val="center"/>
            <w:hideMark/>
          </w:tcPr>
          <w:p w14:paraId="408AF9B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5,385,955.00 </w:t>
            </w:r>
          </w:p>
        </w:tc>
      </w:tr>
      <w:tr w:rsidR="0011199F" w:rsidRPr="00D133CB" w14:paraId="430C5FD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2BD07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8DFEF9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1F6C0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244EAF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68F7AD9F"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de vigilancia y relativos a Vialidad</w:t>
            </w:r>
          </w:p>
        </w:tc>
        <w:tc>
          <w:tcPr>
            <w:tcW w:w="1985" w:type="dxa"/>
            <w:tcBorders>
              <w:top w:val="nil"/>
              <w:left w:val="nil"/>
              <w:bottom w:val="single" w:sz="4" w:space="0" w:color="auto"/>
              <w:right w:val="single" w:sz="4" w:space="0" w:color="auto"/>
            </w:tcBorders>
            <w:shd w:val="clear" w:color="000000" w:fill="FFFFFF"/>
            <w:vAlign w:val="center"/>
            <w:hideMark/>
          </w:tcPr>
          <w:p w14:paraId="00CC921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1,602,135.00 </w:t>
            </w:r>
          </w:p>
        </w:tc>
      </w:tr>
      <w:tr w:rsidR="0011199F" w:rsidRPr="00D133CB" w14:paraId="466AAF07"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CC537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4DE271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98EAC1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116CEF8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E13F1"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de corralón y grúa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BFCEB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2,801.00 </w:t>
            </w:r>
          </w:p>
        </w:tc>
      </w:tr>
      <w:tr w:rsidR="0011199F" w:rsidRPr="00D133CB" w14:paraId="44466592"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5C98A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1FC9392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5A3463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3C9A82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41FBB"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que presta la Dirección de Catastro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2821AA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46,685,772.00 </w:t>
            </w:r>
          </w:p>
        </w:tc>
      </w:tr>
      <w:tr w:rsidR="0011199F" w:rsidRPr="00D133CB" w14:paraId="48DEC0C8" w14:textId="77777777" w:rsidTr="00C65354">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5BB35C2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AE2C3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875807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4.43.7</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0ECF54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63CE6"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BB2DF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74D4DA43"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4969C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0EBF36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4.44</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6E4DDB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51A19D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555DD93E"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Otros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6409B3"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154,324,828.00</w:t>
            </w:r>
          </w:p>
        </w:tc>
      </w:tr>
      <w:tr w:rsidR="0011199F" w:rsidRPr="00D133CB" w14:paraId="0F2802C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4C62C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1950EB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nil"/>
              <w:left w:val="nil"/>
              <w:bottom w:val="single" w:sz="4" w:space="0" w:color="auto"/>
              <w:right w:val="nil"/>
            </w:tcBorders>
            <w:shd w:val="clear" w:color="000000" w:fill="FFFFFF"/>
            <w:noWrap/>
            <w:vAlign w:val="center"/>
            <w:hideMark/>
          </w:tcPr>
          <w:p w14:paraId="2E6194F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w:t>
            </w:r>
          </w:p>
        </w:tc>
        <w:tc>
          <w:tcPr>
            <w:tcW w:w="271" w:type="dxa"/>
            <w:gridSpan w:val="4"/>
            <w:tcBorders>
              <w:top w:val="nil"/>
              <w:left w:val="nil"/>
              <w:bottom w:val="single" w:sz="4" w:space="0" w:color="auto"/>
              <w:right w:val="nil"/>
            </w:tcBorders>
            <w:shd w:val="clear" w:color="000000" w:fill="FFFFFF"/>
            <w:noWrap/>
            <w:vAlign w:val="center"/>
            <w:hideMark/>
          </w:tcPr>
          <w:p w14:paraId="709B7F9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187AE434" w14:textId="77777777" w:rsidR="0011199F" w:rsidRPr="00D133CB" w:rsidRDefault="0011199F" w:rsidP="00C65354">
            <w:pPr>
              <w:rPr>
                <w:rFonts w:ascii="Arial" w:hAnsi="Arial" w:cs="Arial"/>
                <w:sz w:val="19"/>
                <w:szCs w:val="19"/>
              </w:rPr>
            </w:pPr>
            <w:r w:rsidRPr="00D133CB">
              <w:rPr>
                <w:rFonts w:ascii="Arial" w:hAnsi="Arial" w:cs="Arial"/>
                <w:sz w:val="19"/>
                <w:szCs w:val="19"/>
              </w:rPr>
              <w:t xml:space="preserve">             Por Licencias de funcionamiento y Permisos</w:t>
            </w:r>
          </w:p>
        </w:tc>
        <w:tc>
          <w:tcPr>
            <w:tcW w:w="1985" w:type="dxa"/>
            <w:tcBorders>
              <w:top w:val="nil"/>
              <w:left w:val="nil"/>
              <w:bottom w:val="single" w:sz="4" w:space="0" w:color="auto"/>
              <w:right w:val="single" w:sz="4" w:space="0" w:color="auto"/>
            </w:tcBorders>
            <w:shd w:val="clear" w:color="000000" w:fill="FFFFFF"/>
            <w:vAlign w:val="center"/>
            <w:hideMark/>
          </w:tcPr>
          <w:p w14:paraId="3D916DA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8,869,393.00</w:t>
            </w:r>
          </w:p>
        </w:tc>
      </w:tr>
      <w:tr w:rsidR="0011199F" w:rsidRPr="00D133CB" w14:paraId="6CB39FF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CFE2E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60" w:type="dxa"/>
            <w:gridSpan w:val="2"/>
            <w:tcBorders>
              <w:top w:val="single" w:sz="4" w:space="0" w:color="auto"/>
              <w:bottom w:val="single" w:sz="4" w:space="0" w:color="auto"/>
            </w:tcBorders>
            <w:shd w:val="clear" w:color="000000" w:fill="FFFFFF"/>
            <w:noWrap/>
            <w:vAlign w:val="center"/>
            <w:hideMark/>
          </w:tcPr>
          <w:p w14:paraId="0E5951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38E99C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4.44.2</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0AD5FF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7ABA5" w14:textId="77777777" w:rsidR="0011199F" w:rsidRPr="00D133CB" w:rsidRDefault="0011199F" w:rsidP="00C65354">
            <w:pPr>
              <w:rPr>
                <w:rFonts w:ascii="Arial" w:hAnsi="Arial" w:cs="Arial"/>
                <w:sz w:val="19"/>
                <w:szCs w:val="19"/>
              </w:rPr>
            </w:pPr>
            <w:r w:rsidRPr="00D133CB">
              <w:rPr>
                <w:rFonts w:ascii="Arial" w:hAnsi="Arial" w:cs="Arial"/>
                <w:sz w:val="19"/>
                <w:szCs w:val="19"/>
              </w:rPr>
              <w:t xml:space="preserve">             Por los servicios que presta la Dirección de Desarrollo Urbano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90D12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113,570,679.00</w:t>
            </w:r>
          </w:p>
        </w:tc>
      </w:tr>
      <w:tr w:rsidR="0011199F" w:rsidRPr="00D133CB" w14:paraId="5130062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20C19A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53FD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DDF342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56E1050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B9CBE"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certificados y constancias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08D06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7,124,915.00 </w:t>
            </w:r>
          </w:p>
        </w:tc>
      </w:tr>
      <w:tr w:rsidR="0011199F" w:rsidRPr="00D133CB" w14:paraId="1B95FAC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A685D2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50CBA0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2ECDB3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246629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71C10"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Otros servicios prestados por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DC7C3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670,477.00 </w:t>
            </w:r>
          </w:p>
        </w:tc>
      </w:tr>
      <w:tr w:rsidR="0011199F" w:rsidRPr="00D133CB" w14:paraId="4AD861CC" w14:textId="77777777" w:rsidTr="00C65354">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63C1C7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1C1EEA8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6918B97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490552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EF50E"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Servicios que presta la Unidad Municipal de Acceso a la    Información Pública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AC161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1,817.00 </w:t>
            </w:r>
          </w:p>
        </w:tc>
      </w:tr>
      <w:tr w:rsidR="0011199F" w:rsidRPr="00D133CB" w14:paraId="33E05828"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A2CA919"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000000" w:fill="FFFFFF"/>
            <w:noWrap/>
            <w:vAlign w:val="center"/>
            <w:hideMark/>
          </w:tcPr>
          <w:p w14:paraId="4E6003B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47A6E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7EC00C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5B0D3"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los Servicios de Limpia de Bienes Inmuebles en Desuso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DBD57D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5792848C" w14:textId="77777777" w:rsidTr="00C65354">
        <w:trPr>
          <w:gridAfter w:val="3"/>
          <w:wAfter w:w="5535" w:type="dxa"/>
          <w:trHeight w:val="5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0A2CA1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02F290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6C468BA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4.44.7</w:t>
            </w:r>
          </w:p>
        </w:tc>
        <w:tc>
          <w:tcPr>
            <w:tcW w:w="271" w:type="dxa"/>
            <w:gridSpan w:val="4"/>
            <w:tcBorders>
              <w:top w:val="single" w:sz="4" w:space="0" w:color="auto"/>
              <w:left w:val="nil"/>
              <w:bottom w:val="nil"/>
              <w:right w:val="nil"/>
            </w:tcBorders>
            <w:shd w:val="clear" w:color="000000" w:fill="FFFFFF"/>
            <w:noWrap/>
            <w:vAlign w:val="center"/>
            <w:hideMark/>
          </w:tcPr>
          <w:p w14:paraId="6968346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FFA42"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concesiones de servicios públicos municipales en casos que así determine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320ACD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613,094.00 </w:t>
            </w:r>
          </w:p>
        </w:tc>
      </w:tr>
      <w:tr w:rsidR="0011199F" w:rsidRPr="00D133CB" w14:paraId="41F5F2A1" w14:textId="77777777" w:rsidTr="00C65354">
        <w:trPr>
          <w:gridAfter w:val="3"/>
          <w:wAfter w:w="5535" w:type="dxa"/>
          <w:trHeight w:val="46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AF3D8A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7CB912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78C632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4.44.8</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2FC3BA4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2CE5F6F"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los servicios que presta la Subdirección de Residuos Sólidos</w:t>
            </w:r>
          </w:p>
        </w:tc>
        <w:tc>
          <w:tcPr>
            <w:tcW w:w="1985" w:type="dxa"/>
            <w:tcBorders>
              <w:top w:val="nil"/>
              <w:left w:val="nil"/>
              <w:bottom w:val="single" w:sz="4" w:space="0" w:color="auto"/>
              <w:right w:val="single" w:sz="4" w:space="0" w:color="auto"/>
            </w:tcBorders>
            <w:shd w:val="clear" w:color="000000" w:fill="FFFFFF"/>
            <w:vAlign w:val="center"/>
            <w:hideMark/>
          </w:tcPr>
          <w:p w14:paraId="422FE1C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7,295,904.00 </w:t>
            </w:r>
          </w:p>
        </w:tc>
      </w:tr>
      <w:tr w:rsidR="0011199F" w:rsidRPr="00D133CB" w14:paraId="1308A667" w14:textId="77777777" w:rsidTr="00C65354">
        <w:trPr>
          <w:gridAfter w:val="3"/>
          <w:wAfter w:w="5535" w:type="dxa"/>
          <w:trHeight w:val="49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369D8B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5EABB03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7B94B9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4.44.9</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13A7C1D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31D29"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uso de estacionamientos y baños públicos propiedad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42642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11,347,231.00 </w:t>
            </w:r>
          </w:p>
        </w:tc>
      </w:tr>
      <w:tr w:rsidR="0011199F" w:rsidRPr="00D133CB" w14:paraId="63665FB0" w14:textId="77777777" w:rsidTr="00C65354">
        <w:trPr>
          <w:gridAfter w:val="3"/>
          <w:wAfter w:w="5535" w:type="dxa"/>
          <w:trHeight w:val="64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DE471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FDFF1F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D5226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4.44.10</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33AB897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6803D"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obras o servicios que realice el Ayuntamiento a cargo de los particulares por la aplicación de los reglamentos municipales en vigor</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32795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279F3AD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971D5A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F1E450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74B03D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3DE66C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ACCAC" w14:textId="77777777" w:rsidR="0011199F" w:rsidRPr="00D133CB" w:rsidRDefault="0011199F" w:rsidP="00C65354">
            <w:pPr>
              <w:tabs>
                <w:tab w:val="left" w:pos="601"/>
              </w:tabs>
              <w:jc w:val="both"/>
              <w:rPr>
                <w:rFonts w:ascii="Arial" w:hAnsi="Arial" w:cs="Arial"/>
                <w:sz w:val="19"/>
                <w:szCs w:val="19"/>
              </w:rPr>
            </w:pPr>
            <w:r w:rsidRPr="00D133CB">
              <w:rPr>
                <w:rFonts w:ascii="Arial" w:hAnsi="Arial" w:cs="Arial"/>
                <w:sz w:val="19"/>
                <w:szCs w:val="19"/>
              </w:rPr>
              <w:t xml:space="preserve">             Por los servicios en materia de Protección Civil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D2AA24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4,831,318.00 </w:t>
            </w:r>
          </w:p>
        </w:tc>
      </w:tr>
      <w:tr w:rsidR="0011199F" w:rsidRPr="00D133CB" w14:paraId="5C63DAFA"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2A0BF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0BCFBAA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4.45</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B38AF0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8A04E6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08ECA69B"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Accesorios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C02BF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5,855,099.00</w:t>
            </w:r>
          </w:p>
        </w:tc>
      </w:tr>
      <w:tr w:rsidR="0011199F" w:rsidRPr="00D133CB" w14:paraId="4607FD6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DD49BD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06B33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BA7E3F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2E1D4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C796F"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Actualización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BB786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111,778.00</w:t>
            </w:r>
          </w:p>
        </w:tc>
      </w:tr>
      <w:tr w:rsidR="0011199F" w:rsidRPr="00D133CB" w14:paraId="4335723A"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B9088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2C7A5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301532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4.45.2</w:t>
            </w:r>
          </w:p>
        </w:tc>
        <w:tc>
          <w:tcPr>
            <w:tcW w:w="271" w:type="dxa"/>
            <w:gridSpan w:val="4"/>
            <w:tcBorders>
              <w:top w:val="single" w:sz="4" w:space="0" w:color="auto"/>
              <w:left w:val="nil"/>
              <w:bottom w:val="nil"/>
              <w:right w:val="nil"/>
            </w:tcBorders>
            <w:shd w:val="clear" w:color="000000" w:fill="FFFFFF"/>
            <w:noWrap/>
            <w:vAlign w:val="center"/>
            <w:hideMark/>
          </w:tcPr>
          <w:p w14:paraId="3849EAD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20455"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Recargos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2CF16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395,938.00</w:t>
            </w:r>
          </w:p>
        </w:tc>
      </w:tr>
      <w:tr w:rsidR="0011199F" w:rsidRPr="00D133CB" w14:paraId="4F48596B"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46C004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E544CA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330DBC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4.45.3</w:t>
            </w:r>
          </w:p>
        </w:tc>
        <w:tc>
          <w:tcPr>
            <w:tcW w:w="271" w:type="dxa"/>
            <w:gridSpan w:val="4"/>
            <w:tcBorders>
              <w:top w:val="single" w:sz="4" w:space="0" w:color="auto"/>
              <w:left w:val="nil"/>
              <w:bottom w:val="nil"/>
              <w:right w:val="nil"/>
            </w:tcBorders>
            <w:shd w:val="clear" w:color="000000" w:fill="FFFFFF"/>
            <w:noWrap/>
            <w:vAlign w:val="center"/>
            <w:hideMark/>
          </w:tcPr>
          <w:p w14:paraId="30FF6AC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51B093A9"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de derechos</w:t>
            </w:r>
          </w:p>
        </w:tc>
        <w:tc>
          <w:tcPr>
            <w:tcW w:w="1985" w:type="dxa"/>
            <w:tcBorders>
              <w:top w:val="nil"/>
              <w:left w:val="nil"/>
              <w:bottom w:val="single" w:sz="4" w:space="0" w:color="auto"/>
              <w:right w:val="single" w:sz="4" w:space="0" w:color="auto"/>
            </w:tcBorders>
            <w:shd w:val="clear" w:color="auto" w:fill="auto"/>
            <w:vAlign w:val="center"/>
            <w:hideMark/>
          </w:tcPr>
          <w:p w14:paraId="7E1D90C9"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5,347,383.00</w:t>
            </w:r>
          </w:p>
        </w:tc>
      </w:tr>
      <w:tr w:rsidR="0011199F" w:rsidRPr="00D133CB" w14:paraId="1FE25376"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59B350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E4D97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1B7C4B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52023AD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A98BB00"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Gastos de ejecución de derechos</w:t>
            </w:r>
          </w:p>
        </w:tc>
        <w:tc>
          <w:tcPr>
            <w:tcW w:w="1985" w:type="dxa"/>
            <w:tcBorders>
              <w:top w:val="nil"/>
              <w:left w:val="nil"/>
              <w:bottom w:val="single" w:sz="4" w:space="0" w:color="auto"/>
              <w:right w:val="single" w:sz="4" w:space="0" w:color="auto"/>
            </w:tcBorders>
            <w:shd w:val="clear" w:color="auto" w:fill="auto"/>
            <w:vAlign w:val="center"/>
            <w:hideMark/>
          </w:tcPr>
          <w:p w14:paraId="104AC7D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658FD057"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8A8981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6E00D2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4.49</w:t>
            </w:r>
          </w:p>
        </w:tc>
        <w:tc>
          <w:tcPr>
            <w:tcW w:w="716" w:type="dxa"/>
            <w:gridSpan w:val="5"/>
            <w:tcBorders>
              <w:top w:val="single" w:sz="4" w:space="0" w:color="auto"/>
              <w:bottom w:val="single" w:sz="4" w:space="0" w:color="auto"/>
              <w:right w:val="nil"/>
            </w:tcBorders>
            <w:shd w:val="clear" w:color="000000" w:fill="FFFFFF"/>
            <w:noWrap/>
            <w:vAlign w:val="center"/>
            <w:hideMark/>
          </w:tcPr>
          <w:p w14:paraId="5C65D76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A06624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1F4933B" w14:textId="77777777" w:rsidR="0011199F" w:rsidRPr="00D133CB" w:rsidRDefault="0011199F" w:rsidP="00C65354">
            <w:pPr>
              <w:ind w:leftChars="162" w:left="356" w:firstLine="1"/>
              <w:jc w:val="both"/>
              <w:rPr>
                <w:rFonts w:ascii="Arial" w:hAnsi="Arial" w:cs="Arial"/>
                <w:b/>
                <w:bCs/>
                <w:sz w:val="19"/>
                <w:szCs w:val="19"/>
              </w:rPr>
            </w:pPr>
            <w:r w:rsidRPr="00D133CB">
              <w:rPr>
                <w:rFonts w:ascii="Arial" w:hAnsi="Arial" w:cs="Arial"/>
                <w:b/>
                <w:bCs/>
                <w:sz w:val="19"/>
                <w:szCs w:val="19"/>
              </w:rPr>
              <w:t>Derechos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EC1380B"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71385FA6" w14:textId="77777777" w:rsidTr="00C65354">
        <w:trPr>
          <w:gridAfter w:val="3"/>
          <w:wAfter w:w="5535" w:type="dxa"/>
          <w:trHeight w:val="70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9388B5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946A4D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bottom w:val="single" w:sz="4" w:space="0" w:color="auto"/>
              <w:right w:val="nil"/>
            </w:tcBorders>
            <w:shd w:val="clear" w:color="000000" w:fill="FFFFFF"/>
            <w:noWrap/>
            <w:vAlign w:val="center"/>
            <w:hideMark/>
          </w:tcPr>
          <w:p w14:paraId="562E4E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4.49.1</w:t>
            </w:r>
          </w:p>
        </w:tc>
        <w:tc>
          <w:tcPr>
            <w:tcW w:w="271" w:type="dxa"/>
            <w:gridSpan w:val="4"/>
            <w:tcBorders>
              <w:top w:val="single" w:sz="4" w:space="0" w:color="auto"/>
              <w:left w:val="nil"/>
              <w:bottom w:val="nil"/>
              <w:right w:val="nil"/>
            </w:tcBorders>
            <w:shd w:val="clear" w:color="000000" w:fill="FFFFFF"/>
            <w:noWrap/>
            <w:vAlign w:val="center"/>
            <w:hideMark/>
          </w:tcPr>
          <w:p w14:paraId="49867D8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nil"/>
              <w:right w:val="single" w:sz="4" w:space="0" w:color="auto"/>
            </w:tcBorders>
            <w:shd w:val="clear" w:color="000000" w:fill="FFFFFF"/>
            <w:vAlign w:val="center"/>
            <w:hideMark/>
          </w:tcPr>
          <w:p w14:paraId="4789CB7A" w14:textId="77777777" w:rsidR="0011199F" w:rsidRPr="00D133CB" w:rsidRDefault="0011199F" w:rsidP="00C65354">
            <w:pPr>
              <w:ind w:left="675" w:hanging="1"/>
              <w:jc w:val="both"/>
              <w:rPr>
                <w:rFonts w:ascii="Arial" w:hAnsi="Arial" w:cs="Arial"/>
                <w:sz w:val="19"/>
                <w:szCs w:val="19"/>
              </w:rPr>
            </w:pPr>
            <w:r w:rsidRPr="00D133CB">
              <w:rPr>
                <w:rFonts w:ascii="Arial" w:hAnsi="Arial" w:cs="Arial"/>
                <w:sz w:val="19"/>
                <w:szCs w:val="19"/>
              </w:rPr>
              <w:t>Derechos no comprendidos en la Ley de Ingresos vigente, causados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0C4FECB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47641776"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BA4E3B"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5</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857E8B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5F870ED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5B522D9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BFCFA"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314FE14"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162,418,167.00</w:t>
            </w:r>
          </w:p>
        </w:tc>
      </w:tr>
      <w:tr w:rsidR="0011199F" w:rsidRPr="00D133CB" w14:paraId="13012978" w14:textId="77777777" w:rsidTr="00127624">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5E4EDA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1A7EB73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5.51</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0A47FA7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357"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65FC11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27FEC8C"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0A2722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162,418,167.00</w:t>
            </w:r>
          </w:p>
        </w:tc>
      </w:tr>
      <w:tr w:rsidR="0011199F" w:rsidRPr="00D133CB" w14:paraId="458B8F7C" w14:textId="77777777" w:rsidTr="00127624">
        <w:trPr>
          <w:gridAfter w:val="3"/>
          <w:wAfter w:w="5535" w:type="dxa"/>
          <w:trHeight w:val="67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EA08D0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73" w:type="dxa"/>
            <w:gridSpan w:val="2"/>
            <w:tcBorders>
              <w:top w:val="single" w:sz="4" w:space="0" w:color="auto"/>
              <w:bottom w:val="single" w:sz="4" w:space="0" w:color="auto"/>
            </w:tcBorders>
            <w:shd w:val="clear" w:color="000000" w:fill="FFFFFF"/>
            <w:noWrap/>
            <w:vAlign w:val="center"/>
            <w:hideMark/>
          </w:tcPr>
          <w:p w14:paraId="604F145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54CD374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5.51.1</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5FCEBCE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15AB6"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los daños ocasionados a las vías públicas o los bienes del municipio afectos a la prestación de un servicio público causado por los particulares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71B07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5,308,284.00</w:t>
            </w:r>
          </w:p>
        </w:tc>
      </w:tr>
      <w:tr w:rsidR="0011199F" w:rsidRPr="00D133CB" w14:paraId="12BE47E1"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60C621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741CB2B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0C023C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5.51.2</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4CE26D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51422"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los intereses derivados del financiamiento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33210E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147,000,000.00</w:t>
            </w:r>
          </w:p>
        </w:tc>
      </w:tr>
      <w:tr w:rsidR="0011199F" w:rsidRPr="00D133CB" w14:paraId="0FAA4101"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8D848C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C6D8D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61DD4DF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5.51.3</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203F4F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9561C" w14:textId="77777777" w:rsidR="0011199F" w:rsidRPr="00D133CB" w:rsidRDefault="0011199F" w:rsidP="00C65354">
            <w:pPr>
              <w:ind w:left="840" w:hanging="1"/>
              <w:jc w:val="both"/>
              <w:rPr>
                <w:rFonts w:ascii="Arial" w:hAnsi="Arial" w:cs="Arial"/>
                <w:sz w:val="19"/>
                <w:szCs w:val="19"/>
              </w:rPr>
            </w:pPr>
            <w:r w:rsidRPr="00D133CB">
              <w:rPr>
                <w:rFonts w:ascii="Arial" w:hAnsi="Arial" w:cs="Arial"/>
                <w:sz w:val="19"/>
                <w:szCs w:val="19"/>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C95AB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92E7B6F"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8C76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49849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nil"/>
              <w:right w:val="nil"/>
            </w:tcBorders>
            <w:shd w:val="clear" w:color="000000" w:fill="FFFFFF"/>
            <w:noWrap/>
            <w:vAlign w:val="center"/>
            <w:hideMark/>
          </w:tcPr>
          <w:p w14:paraId="713D09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5.51.4</w:t>
            </w:r>
          </w:p>
        </w:tc>
        <w:tc>
          <w:tcPr>
            <w:tcW w:w="357" w:type="dxa"/>
            <w:gridSpan w:val="6"/>
            <w:tcBorders>
              <w:top w:val="single" w:sz="4" w:space="0" w:color="auto"/>
              <w:left w:val="nil"/>
              <w:bottom w:val="nil"/>
              <w:right w:val="nil"/>
            </w:tcBorders>
            <w:shd w:val="clear" w:color="000000" w:fill="FFFFFF"/>
            <w:noWrap/>
            <w:vAlign w:val="center"/>
            <w:hideMark/>
          </w:tcPr>
          <w:p w14:paraId="4DB113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943E" w14:textId="77777777" w:rsidR="0011199F" w:rsidRPr="00D133CB" w:rsidRDefault="0011199F" w:rsidP="00C65354">
            <w:pPr>
              <w:ind w:left="840" w:hanging="1"/>
              <w:jc w:val="both"/>
              <w:rPr>
                <w:rFonts w:ascii="Arial" w:hAnsi="Arial" w:cs="Arial"/>
                <w:sz w:val="19"/>
                <w:szCs w:val="19"/>
              </w:rPr>
            </w:pPr>
            <w:r w:rsidRPr="00D133CB">
              <w:rPr>
                <w:rFonts w:ascii="Arial" w:hAnsi="Arial" w:cs="Arial"/>
                <w:sz w:val="19"/>
                <w:szCs w:val="19"/>
              </w:rPr>
              <w:t>Por venta de formas oficiales impresas y bases de licitación o invitación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6BDDF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1,383,463.00</w:t>
            </w:r>
          </w:p>
        </w:tc>
      </w:tr>
      <w:tr w:rsidR="0011199F" w:rsidRPr="00D133CB" w14:paraId="0123E2C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74228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008E13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7FB57D5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5.51.5</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70960B1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4734F3EF"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otros productos no especificados</w:t>
            </w:r>
          </w:p>
        </w:tc>
        <w:tc>
          <w:tcPr>
            <w:tcW w:w="1985" w:type="dxa"/>
            <w:tcBorders>
              <w:top w:val="nil"/>
              <w:left w:val="nil"/>
              <w:bottom w:val="single" w:sz="4" w:space="0" w:color="auto"/>
              <w:right w:val="single" w:sz="4" w:space="0" w:color="auto"/>
            </w:tcBorders>
            <w:shd w:val="clear" w:color="000000" w:fill="FFFFFF"/>
            <w:vAlign w:val="center"/>
            <w:hideMark/>
          </w:tcPr>
          <w:p w14:paraId="557EEBA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8,171,936.00</w:t>
            </w:r>
          </w:p>
        </w:tc>
      </w:tr>
      <w:tr w:rsidR="0011199F" w:rsidRPr="00D133CB" w14:paraId="41FB17F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BFB61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DB9B3B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682FBE6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5.51.6</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AA96B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207DFEC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los remates de bienes mostrencos</w:t>
            </w:r>
          </w:p>
        </w:tc>
        <w:tc>
          <w:tcPr>
            <w:tcW w:w="1985" w:type="dxa"/>
            <w:tcBorders>
              <w:top w:val="nil"/>
              <w:left w:val="nil"/>
              <w:bottom w:val="single" w:sz="4" w:space="0" w:color="auto"/>
              <w:right w:val="single" w:sz="4" w:space="0" w:color="auto"/>
            </w:tcBorders>
            <w:shd w:val="clear" w:color="000000" w:fill="FFFFFF"/>
            <w:vAlign w:val="center"/>
            <w:hideMark/>
          </w:tcPr>
          <w:p w14:paraId="1CA35B8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47E0762C" w14:textId="77777777" w:rsidTr="00C65354">
        <w:trPr>
          <w:gridAfter w:val="3"/>
          <w:wAfter w:w="5535" w:type="dxa"/>
          <w:trHeight w:val="9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D35B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F63CEB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72FDAE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5.51.7</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926C48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E971C"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arrendamiento, explotación o aprovechamiento de bienes muebles e inmuebles del patrimonio municipal en actividades distintas a la prestación directa por parte del Municipio de un servicio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07D0C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554,484.00</w:t>
            </w:r>
          </w:p>
        </w:tc>
      </w:tr>
      <w:tr w:rsidR="0011199F" w:rsidRPr="00D133CB" w14:paraId="1746BB83"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9224B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3C1EA5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4146AA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5.51.8</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4F05B7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7F109"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la enajenación de bienes muebles e inmuebles del dominio privado del patrimonio municipal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396B26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544F108" w14:textId="77777777" w:rsidTr="00C65354">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F945CD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9BB870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5.59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A38750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2EE8B0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34592EB7"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Productos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61F6C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503736F4" w14:textId="77777777" w:rsidTr="00C65354">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0DF97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CBE0A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nil"/>
              <w:left w:val="nil"/>
              <w:bottom w:val="nil"/>
              <w:right w:val="nil"/>
            </w:tcBorders>
            <w:shd w:val="clear" w:color="000000" w:fill="FFFFFF"/>
            <w:noWrap/>
            <w:vAlign w:val="center"/>
            <w:hideMark/>
          </w:tcPr>
          <w:p w14:paraId="719A0A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5.59.1</w:t>
            </w:r>
          </w:p>
        </w:tc>
        <w:tc>
          <w:tcPr>
            <w:tcW w:w="402" w:type="dxa"/>
            <w:gridSpan w:val="7"/>
            <w:tcBorders>
              <w:top w:val="nil"/>
              <w:left w:val="nil"/>
              <w:bottom w:val="nil"/>
              <w:right w:val="nil"/>
            </w:tcBorders>
            <w:shd w:val="clear" w:color="000000" w:fill="FFFFFF"/>
            <w:noWrap/>
            <w:vAlign w:val="center"/>
            <w:hideMark/>
          </w:tcPr>
          <w:p w14:paraId="3D8B6DD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nil"/>
              <w:right w:val="single" w:sz="4" w:space="0" w:color="auto"/>
            </w:tcBorders>
            <w:shd w:val="clear" w:color="000000" w:fill="FFFFFF"/>
            <w:vAlign w:val="center"/>
            <w:hideMark/>
          </w:tcPr>
          <w:p w14:paraId="2901C0D3"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Productos no comprendidos en la Ley de Ingresos vigente, causados en ejercicios fiscales anteriores pendientes de liquidación o pago</w:t>
            </w:r>
          </w:p>
        </w:tc>
        <w:tc>
          <w:tcPr>
            <w:tcW w:w="1985" w:type="dxa"/>
            <w:tcBorders>
              <w:top w:val="nil"/>
              <w:left w:val="nil"/>
              <w:bottom w:val="nil"/>
              <w:right w:val="single" w:sz="4" w:space="0" w:color="auto"/>
            </w:tcBorders>
            <w:shd w:val="clear" w:color="000000" w:fill="FFFFFF"/>
            <w:vAlign w:val="center"/>
            <w:hideMark/>
          </w:tcPr>
          <w:p w14:paraId="434F31D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0EAA8F09" w14:textId="77777777" w:rsidTr="00C65354">
        <w:trPr>
          <w:gridAfter w:val="3"/>
          <w:wAfter w:w="5535" w:type="dxa"/>
          <w:trHeight w:val="255"/>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71441D8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D2DE4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4913FC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134966D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B88B3"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9B7E3C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19,609,177.00</w:t>
            </w:r>
          </w:p>
        </w:tc>
      </w:tr>
      <w:tr w:rsidR="0011199F" w:rsidRPr="00D133CB" w14:paraId="63CE8DC0"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03DFDC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253E576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6.61</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63AC9BA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FDD4D0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17E2130A"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Aprovechamientos</w:t>
            </w:r>
          </w:p>
        </w:tc>
        <w:tc>
          <w:tcPr>
            <w:tcW w:w="1985" w:type="dxa"/>
            <w:tcBorders>
              <w:top w:val="nil"/>
              <w:left w:val="nil"/>
              <w:bottom w:val="single" w:sz="4" w:space="0" w:color="auto"/>
              <w:right w:val="single" w:sz="4" w:space="0" w:color="auto"/>
            </w:tcBorders>
            <w:shd w:val="clear" w:color="000000" w:fill="FFFFFF"/>
            <w:vAlign w:val="center"/>
            <w:hideMark/>
          </w:tcPr>
          <w:p w14:paraId="5701315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19,257,852.00</w:t>
            </w:r>
          </w:p>
        </w:tc>
      </w:tr>
      <w:tr w:rsidR="0011199F" w:rsidRPr="00D133CB" w14:paraId="0BFE1584"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620F2F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915BD0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tcPr>
          <w:p w14:paraId="1200AF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6.61.1</w:t>
            </w:r>
          </w:p>
        </w:tc>
        <w:tc>
          <w:tcPr>
            <w:tcW w:w="402" w:type="dxa"/>
            <w:gridSpan w:val="7"/>
            <w:tcBorders>
              <w:top w:val="single" w:sz="4" w:space="0" w:color="auto"/>
              <w:left w:val="nil"/>
              <w:bottom w:val="single" w:sz="4" w:space="0" w:color="auto"/>
              <w:right w:val="nil"/>
            </w:tcBorders>
            <w:shd w:val="clear" w:color="000000" w:fill="FFFFFF"/>
            <w:noWrap/>
            <w:vAlign w:val="center"/>
          </w:tcPr>
          <w:p w14:paraId="3F6AB5E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7BD204DC"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Multas por infracciones a las leyes y reglamentos municipales y   otros ordenamientos aplicables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3115BD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14,183,056.00</w:t>
            </w:r>
          </w:p>
        </w:tc>
      </w:tr>
      <w:tr w:rsidR="0011199F" w:rsidRPr="00D133CB" w14:paraId="35BB544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D8C0F7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713A300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6050862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6.61.2</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0C3786A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63BA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Honorarios por notificación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09BD80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1,917,778.00</w:t>
            </w:r>
          </w:p>
        </w:tc>
      </w:tr>
      <w:tr w:rsidR="0011199F" w:rsidRPr="00D133CB" w14:paraId="6F6CA79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tcPr>
          <w:p w14:paraId="6E9C98BB"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000000" w:fill="FFFFFF"/>
            <w:noWrap/>
            <w:vAlign w:val="center"/>
          </w:tcPr>
          <w:p w14:paraId="089C2A95"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nil"/>
              <w:right w:val="nil"/>
            </w:tcBorders>
            <w:shd w:val="clear" w:color="000000" w:fill="FFFFFF"/>
            <w:noWrap/>
            <w:vAlign w:val="center"/>
          </w:tcPr>
          <w:p w14:paraId="6A1A584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6.61.3</w:t>
            </w:r>
          </w:p>
        </w:tc>
        <w:tc>
          <w:tcPr>
            <w:tcW w:w="402" w:type="dxa"/>
            <w:gridSpan w:val="7"/>
            <w:tcBorders>
              <w:top w:val="single" w:sz="4" w:space="0" w:color="auto"/>
              <w:left w:val="nil"/>
              <w:bottom w:val="nil"/>
              <w:right w:val="nil"/>
            </w:tcBorders>
            <w:shd w:val="clear" w:color="000000" w:fill="FFFFFF"/>
            <w:noWrap/>
            <w:vAlign w:val="center"/>
          </w:tcPr>
          <w:p w14:paraId="0FB9F7A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6C5DD92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Otros 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7602B5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3,157,018.00</w:t>
            </w:r>
          </w:p>
        </w:tc>
      </w:tr>
      <w:tr w:rsidR="0011199F" w:rsidRPr="00D133CB" w14:paraId="3E5A0FD3"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3665272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619C46C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6.62</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35530C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363D9B1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74727AF1"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Aprovechamientos Patrimoniales </w:t>
            </w:r>
          </w:p>
        </w:tc>
        <w:tc>
          <w:tcPr>
            <w:tcW w:w="1985" w:type="dxa"/>
            <w:tcBorders>
              <w:top w:val="nil"/>
              <w:left w:val="nil"/>
              <w:bottom w:val="single" w:sz="4" w:space="0" w:color="auto"/>
              <w:right w:val="single" w:sz="4" w:space="0" w:color="auto"/>
            </w:tcBorders>
            <w:shd w:val="clear" w:color="000000" w:fill="FFFFFF"/>
            <w:vAlign w:val="center"/>
            <w:hideMark/>
          </w:tcPr>
          <w:p w14:paraId="66E3705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506EC02F"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01DF76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8A91D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AEC3D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6.62.1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63FD154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063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Aprovechamientos Patrimoniales</w:t>
            </w:r>
          </w:p>
        </w:tc>
        <w:tc>
          <w:tcPr>
            <w:tcW w:w="1985" w:type="dxa"/>
            <w:tcBorders>
              <w:top w:val="nil"/>
              <w:left w:val="nil"/>
              <w:bottom w:val="single" w:sz="4" w:space="0" w:color="auto"/>
              <w:right w:val="single" w:sz="4" w:space="0" w:color="auto"/>
            </w:tcBorders>
            <w:shd w:val="clear" w:color="000000" w:fill="FFFFFF"/>
            <w:vAlign w:val="center"/>
            <w:hideMark/>
          </w:tcPr>
          <w:p w14:paraId="17270EC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04570833" w14:textId="77777777" w:rsidTr="00C65354">
        <w:trPr>
          <w:gridAfter w:val="3"/>
          <w:wAfter w:w="5535" w:type="dxa"/>
          <w:trHeight w:val="278"/>
        </w:trPr>
        <w:tc>
          <w:tcPr>
            <w:tcW w:w="300" w:type="dxa"/>
            <w:tcBorders>
              <w:top w:val="single" w:sz="4" w:space="0" w:color="auto"/>
              <w:left w:val="single" w:sz="4" w:space="0" w:color="auto"/>
              <w:bottom w:val="single" w:sz="4" w:space="0" w:color="auto"/>
            </w:tcBorders>
            <w:shd w:val="clear" w:color="auto" w:fill="auto"/>
            <w:noWrap/>
            <w:vAlign w:val="center"/>
          </w:tcPr>
          <w:p w14:paraId="43CFA763"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right w:val="nil"/>
            </w:tcBorders>
            <w:shd w:val="clear" w:color="auto" w:fill="auto"/>
            <w:noWrap/>
            <w:vAlign w:val="center"/>
          </w:tcPr>
          <w:p w14:paraId="1055526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6.63</w:t>
            </w:r>
          </w:p>
        </w:tc>
        <w:tc>
          <w:tcPr>
            <w:tcW w:w="585" w:type="dxa"/>
            <w:gridSpan w:val="2"/>
            <w:tcBorders>
              <w:top w:val="single" w:sz="4" w:space="0" w:color="auto"/>
              <w:left w:val="nil"/>
              <w:bottom w:val="single" w:sz="4" w:space="0" w:color="auto"/>
              <w:right w:val="nil"/>
            </w:tcBorders>
            <w:shd w:val="clear" w:color="auto" w:fill="auto"/>
            <w:noWrap/>
            <w:vAlign w:val="center"/>
          </w:tcPr>
          <w:p w14:paraId="344770FE" w14:textId="77777777" w:rsidR="0011199F" w:rsidRPr="00D133CB" w:rsidRDefault="0011199F" w:rsidP="00C65354">
            <w:pPr>
              <w:jc w:val="center"/>
              <w:rPr>
                <w:rFonts w:ascii="Arial" w:hAnsi="Arial" w:cs="Arial"/>
                <w:b/>
                <w:bCs/>
                <w:sz w:val="19"/>
                <w:szCs w:val="19"/>
              </w:rPr>
            </w:pPr>
          </w:p>
        </w:tc>
        <w:tc>
          <w:tcPr>
            <w:tcW w:w="402" w:type="dxa"/>
            <w:gridSpan w:val="7"/>
            <w:tcBorders>
              <w:top w:val="single" w:sz="4" w:space="0" w:color="auto"/>
              <w:left w:val="nil"/>
              <w:bottom w:val="single" w:sz="4" w:space="0" w:color="auto"/>
              <w:right w:val="single" w:sz="4" w:space="0" w:color="auto"/>
            </w:tcBorders>
            <w:shd w:val="clear" w:color="auto" w:fill="auto"/>
            <w:noWrap/>
            <w:vAlign w:val="center"/>
          </w:tcPr>
          <w:p w14:paraId="33C69ADD" w14:textId="77777777" w:rsidR="0011199F" w:rsidRPr="00D133CB" w:rsidRDefault="0011199F" w:rsidP="00C65354">
            <w:pPr>
              <w:jc w:val="center"/>
              <w:rPr>
                <w:rFonts w:ascii="Arial" w:hAnsi="Arial" w:cs="Arial"/>
                <w:b/>
                <w:bCs/>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652FDAE9"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Accesorios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EE198C"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351,325.00</w:t>
            </w:r>
          </w:p>
        </w:tc>
      </w:tr>
      <w:tr w:rsidR="0011199F" w:rsidRPr="00D133CB" w14:paraId="57C5021A" w14:textId="77777777" w:rsidTr="00C65354">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19E23537"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auto" w:fill="auto"/>
            <w:noWrap/>
            <w:vAlign w:val="center"/>
          </w:tcPr>
          <w:p w14:paraId="16204AA9"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single" w:sz="4" w:space="0" w:color="auto"/>
            </w:tcBorders>
            <w:shd w:val="clear" w:color="auto" w:fill="auto"/>
            <w:noWrap/>
            <w:vAlign w:val="center"/>
          </w:tcPr>
          <w:p w14:paraId="6FDCFA6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6.63.1</w:t>
            </w:r>
          </w:p>
        </w:tc>
        <w:tc>
          <w:tcPr>
            <w:tcW w:w="402" w:type="dxa"/>
            <w:gridSpan w:val="7"/>
            <w:tcBorders>
              <w:top w:val="single" w:sz="4" w:space="0" w:color="auto"/>
              <w:bottom w:val="single" w:sz="4" w:space="0" w:color="auto"/>
              <w:right w:val="single" w:sz="4" w:space="0" w:color="auto"/>
            </w:tcBorders>
            <w:shd w:val="clear" w:color="auto" w:fill="auto"/>
            <w:noWrap/>
            <w:vAlign w:val="center"/>
          </w:tcPr>
          <w:p w14:paraId="0B7F266D"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27F1D161" w14:textId="77777777" w:rsidR="0011199F" w:rsidRPr="00D133CB" w:rsidRDefault="0011199F" w:rsidP="00C65354">
            <w:pPr>
              <w:ind w:left="391"/>
              <w:rPr>
                <w:rFonts w:ascii="Arial" w:hAnsi="Arial" w:cs="Arial"/>
                <w:sz w:val="19"/>
                <w:szCs w:val="19"/>
              </w:rPr>
            </w:pPr>
            <w:r w:rsidRPr="00D133CB">
              <w:rPr>
                <w:rFonts w:ascii="Arial" w:hAnsi="Arial" w:cs="Arial"/>
                <w:sz w:val="19"/>
                <w:szCs w:val="19"/>
              </w:rPr>
              <w:t xml:space="preserve">      Gastos de ejecución</w:t>
            </w:r>
            <w:r w:rsidRPr="00D133CB">
              <w:rPr>
                <w:rFonts w:ascii="Arial" w:hAnsi="Arial" w:cs="Arial"/>
                <w:sz w:val="19"/>
                <w:szCs w:val="19"/>
              </w:rPr>
              <w:tab/>
            </w:r>
          </w:p>
        </w:tc>
        <w:tc>
          <w:tcPr>
            <w:tcW w:w="1985" w:type="dxa"/>
            <w:tcBorders>
              <w:top w:val="single" w:sz="4" w:space="0" w:color="auto"/>
              <w:left w:val="nil"/>
              <w:bottom w:val="single" w:sz="4" w:space="0" w:color="auto"/>
              <w:right w:val="single" w:sz="4" w:space="0" w:color="auto"/>
            </w:tcBorders>
            <w:shd w:val="clear" w:color="auto" w:fill="auto"/>
            <w:vAlign w:val="center"/>
          </w:tcPr>
          <w:p w14:paraId="02FA4F6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351,325.00</w:t>
            </w:r>
          </w:p>
        </w:tc>
      </w:tr>
      <w:tr w:rsidR="0011199F" w:rsidRPr="00D133CB" w14:paraId="3B5A291A" w14:textId="77777777" w:rsidTr="00C65354">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3BEE7790"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auto" w:fill="auto"/>
            <w:noWrap/>
            <w:vAlign w:val="center"/>
          </w:tcPr>
          <w:p w14:paraId="466DB12B"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single" w:sz="4" w:space="0" w:color="auto"/>
            </w:tcBorders>
            <w:shd w:val="clear" w:color="auto" w:fill="auto"/>
            <w:noWrap/>
            <w:vAlign w:val="center"/>
          </w:tcPr>
          <w:p w14:paraId="7932A10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6.63.2</w:t>
            </w:r>
          </w:p>
        </w:tc>
        <w:tc>
          <w:tcPr>
            <w:tcW w:w="402" w:type="dxa"/>
            <w:gridSpan w:val="7"/>
            <w:tcBorders>
              <w:top w:val="single" w:sz="4" w:space="0" w:color="auto"/>
              <w:bottom w:val="single" w:sz="4" w:space="0" w:color="auto"/>
              <w:right w:val="single" w:sz="4" w:space="0" w:color="auto"/>
            </w:tcBorders>
            <w:shd w:val="clear" w:color="auto" w:fill="auto"/>
            <w:noWrap/>
            <w:vAlign w:val="center"/>
          </w:tcPr>
          <w:p w14:paraId="265769C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02828710" w14:textId="77777777" w:rsidR="0011199F" w:rsidRPr="00D133CB" w:rsidRDefault="0011199F" w:rsidP="00C65354">
            <w:pPr>
              <w:ind w:left="391"/>
              <w:rPr>
                <w:rFonts w:ascii="Arial" w:hAnsi="Arial" w:cs="Arial"/>
                <w:sz w:val="19"/>
                <w:szCs w:val="19"/>
              </w:rPr>
            </w:pPr>
            <w:r w:rsidRPr="00D133CB">
              <w:rPr>
                <w:rFonts w:ascii="Arial" w:hAnsi="Arial" w:cs="Arial"/>
                <w:sz w:val="19"/>
                <w:szCs w:val="19"/>
              </w:rPr>
              <w:t xml:space="preserve">      Actualización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841D0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63043F1" w14:textId="77777777" w:rsidTr="00C65354">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CE7A49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lastRenderedPageBreak/>
              <w:t> </w:t>
            </w:r>
          </w:p>
        </w:tc>
        <w:tc>
          <w:tcPr>
            <w:tcW w:w="560" w:type="dxa"/>
            <w:gridSpan w:val="2"/>
            <w:tcBorders>
              <w:top w:val="single" w:sz="4" w:space="0" w:color="auto"/>
              <w:bottom w:val="single" w:sz="4" w:space="0" w:color="auto"/>
              <w:right w:val="nil"/>
            </w:tcBorders>
            <w:shd w:val="clear" w:color="000000" w:fill="FFFFFF"/>
            <w:noWrap/>
            <w:vAlign w:val="center"/>
            <w:hideMark/>
          </w:tcPr>
          <w:p w14:paraId="2DA1D5A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48F16C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068B9D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CAE2AC5"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ABB44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5D4E8CE" w14:textId="77777777" w:rsidTr="00C65354">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4AB2BD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5BDFF9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25043DC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6.69.1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2EC3761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B53C"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567BB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FE2CCF9" w14:textId="77777777" w:rsidTr="00C65354">
        <w:trPr>
          <w:gridAfter w:val="3"/>
          <w:wAfter w:w="5535" w:type="dxa"/>
          <w:trHeight w:val="480"/>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33F4120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7</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565A08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16CBC45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2238160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1A48B"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Ingresos por venta de bienes, prestación de servicios y otros ingresos </w:t>
            </w:r>
          </w:p>
        </w:tc>
        <w:tc>
          <w:tcPr>
            <w:tcW w:w="1985" w:type="dxa"/>
            <w:tcBorders>
              <w:top w:val="single" w:sz="4" w:space="0" w:color="auto"/>
              <w:left w:val="nil"/>
              <w:bottom w:val="single" w:sz="4" w:space="0" w:color="auto"/>
              <w:right w:val="single" w:sz="4" w:space="0" w:color="auto"/>
            </w:tcBorders>
            <w:shd w:val="clear" w:color="auto" w:fill="auto"/>
            <w:vAlign w:val="center"/>
          </w:tcPr>
          <w:p w14:paraId="2602437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229,728,004.00</w:t>
            </w:r>
          </w:p>
        </w:tc>
      </w:tr>
      <w:tr w:rsidR="0011199F" w:rsidRPr="00D133CB" w14:paraId="07F42EA2"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7ADE54C1"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tcBorders>
            <w:shd w:val="clear" w:color="000000" w:fill="FFFFFF"/>
            <w:noWrap/>
            <w:vAlign w:val="center"/>
          </w:tcPr>
          <w:p w14:paraId="3E666A5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7.73</w:t>
            </w:r>
          </w:p>
        </w:tc>
        <w:tc>
          <w:tcPr>
            <w:tcW w:w="585" w:type="dxa"/>
            <w:gridSpan w:val="2"/>
            <w:tcBorders>
              <w:top w:val="single" w:sz="4" w:space="0" w:color="auto"/>
              <w:bottom w:val="single" w:sz="4" w:space="0" w:color="auto"/>
              <w:right w:val="nil"/>
            </w:tcBorders>
            <w:shd w:val="clear" w:color="000000" w:fill="FFFFFF"/>
            <w:noWrap/>
            <w:vAlign w:val="center"/>
          </w:tcPr>
          <w:p w14:paraId="7A09AF84" w14:textId="77777777" w:rsidR="0011199F" w:rsidRPr="00D133CB" w:rsidRDefault="0011199F" w:rsidP="00C65354">
            <w:pPr>
              <w:jc w:val="center"/>
              <w:rPr>
                <w:rFonts w:ascii="Arial" w:hAnsi="Arial" w:cs="Arial"/>
                <w:b/>
                <w:bCs/>
                <w:sz w:val="19"/>
                <w:szCs w:val="19"/>
              </w:rPr>
            </w:pP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tcPr>
          <w:p w14:paraId="609F5216" w14:textId="77777777" w:rsidR="0011199F" w:rsidRPr="00D133CB" w:rsidRDefault="0011199F" w:rsidP="00C65354">
            <w:pPr>
              <w:jc w:val="center"/>
              <w:rPr>
                <w:rFonts w:ascii="Arial" w:hAnsi="Arial" w:cs="Arial"/>
                <w:b/>
                <w:bCs/>
                <w:sz w:val="19"/>
                <w:szCs w:val="19"/>
              </w:rPr>
            </w:pPr>
          </w:p>
        </w:tc>
        <w:tc>
          <w:tcPr>
            <w:tcW w:w="5519" w:type="dxa"/>
            <w:tcBorders>
              <w:top w:val="single" w:sz="4" w:space="0" w:color="auto"/>
              <w:left w:val="nil"/>
              <w:bottom w:val="single" w:sz="4" w:space="0" w:color="auto"/>
              <w:right w:val="single" w:sz="4" w:space="0" w:color="auto"/>
            </w:tcBorders>
            <w:shd w:val="clear" w:color="000000" w:fill="FFFFFF"/>
            <w:vAlign w:val="center"/>
          </w:tcPr>
          <w:p w14:paraId="5B1D0F00"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D55A4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124,858,744.00</w:t>
            </w:r>
          </w:p>
        </w:tc>
      </w:tr>
      <w:tr w:rsidR="0011199F" w:rsidRPr="00D133CB" w14:paraId="39B92D74"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3DADA71D"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tcBorders>
            <w:shd w:val="clear" w:color="000000" w:fill="FFFFFF"/>
            <w:noWrap/>
            <w:vAlign w:val="center"/>
          </w:tcPr>
          <w:p w14:paraId="49F0C818" w14:textId="77777777" w:rsidR="0011199F" w:rsidRPr="00D133CB" w:rsidRDefault="0011199F" w:rsidP="00C65354">
            <w:pPr>
              <w:jc w:val="center"/>
              <w:rPr>
                <w:rFonts w:ascii="Arial" w:hAnsi="Arial" w:cs="Arial"/>
                <w:b/>
                <w:bCs/>
                <w:sz w:val="19"/>
                <w:szCs w:val="19"/>
              </w:rPr>
            </w:pPr>
          </w:p>
        </w:tc>
        <w:tc>
          <w:tcPr>
            <w:tcW w:w="585" w:type="dxa"/>
            <w:gridSpan w:val="2"/>
            <w:tcBorders>
              <w:top w:val="single" w:sz="4" w:space="0" w:color="auto"/>
              <w:bottom w:val="single" w:sz="4" w:space="0" w:color="auto"/>
              <w:right w:val="nil"/>
            </w:tcBorders>
            <w:shd w:val="clear" w:color="000000" w:fill="FFFFFF"/>
            <w:noWrap/>
            <w:vAlign w:val="center"/>
          </w:tcPr>
          <w:p w14:paraId="3539224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7.73.1</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tcPr>
          <w:p w14:paraId="6BE4C44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000000" w:fill="FFFFFF"/>
            <w:vAlign w:val="center"/>
          </w:tcPr>
          <w:p w14:paraId="424B94E4" w14:textId="77777777" w:rsidR="0011199F" w:rsidRPr="00D133CB" w:rsidRDefault="0011199F" w:rsidP="00C65354">
            <w:pPr>
              <w:ind w:leftChars="281" w:left="618"/>
              <w:jc w:val="both"/>
              <w:rPr>
                <w:rFonts w:ascii="Arial" w:hAnsi="Arial" w:cs="Arial"/>
                <w:b/>
                <w:bCs/>
                <w:sz w:val="19"/>
                <w:szCs w:val="19"/>
              </w:rPr>
            </w:pPr>
            <w:r w:rsidRPr="00D133CB">
              <w:rPr>
                <w:rFonts w:ascii="Arial" w:hAnsi="Arial" w:cs="Arial"/>
                <w:sz w:val="19"/>
                <w:szCs w:val="19"/>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9BBD4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124,858,744.00</w:t>
            </w:r>
          </w:p>
        </w:tc>
      </w:tr>
      <w:tr w:rsidR="0011199F" w:rsidRPr="00D133CB" w14:paraId="2AA1AE92"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10117AC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99F202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xml:space="preserve">7.79 </w:t>
            </w:r>
          </w:p>
        </w:tc>
        <w:tc>
          <w:tcPr>
            <w:tcW w:w="585" w:type="dxa"/>
            <w:gridSpan w:val="2"/>
            <w:tcBorders>
              <w:top w:val="single" w:sz="4" w:space="0" w:color="auto"/>
              <w:bottom w:val="single" w:sz="4" w:space="0" w:color="auto"/>
              <w:right w:val="nil"/>
            </w:tcBorders>
            <w:shd w:val="clear" w:color="000000" w:fill="FFFFFF"/>
            <w:noWrap/>
            <w:vAlign w:val="center"/>
            <w:hideMark/>
          </w:tcPr>
          <w:p w14:paraId="38A00F3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F74958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6997977"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D5BC33" w14:textId="77777777" w:rsidR="0011199F" w:rsidRPr="00D133CB" w:rsidRDefault="0011199F" w:rsidP="00C65354">
            <w:pPr>
              <w:jc w:val="right"/>
              <w:rPr>
                <w:rFonts w:ascii="Arial" w:hAnsi="Arial" w:cs="Arial"/>
                <w:sz w:val="19"/>
                <w:szCs w:val="19"/>
              </w:rPr>
            </w:pPr>
            <w:r w:rsidRPr="00D133CB">
              <w:rPr>
                <w:rFonts w:ascii="Arial" w:hAnsi="Arial" w:cs="Arial"/>
                <w:b/>
                <w:bCs/>
                <w:sz w:val="19"/>
                <w:szCs w:val="19"/>
              </w:rPr>
              <w:t>104,869,260.00</w:t>
            </w:r>
          </w:p>
        </w:tc>
      </w:tr>
      <w:tr w:rsidR="0011199F" w:rsidRPr="00D133CB" w14:paraId="3BF12EA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7B2D9C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35A613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bottom w:val="single" w:sz="4" w:space="0" w:color="auto"/>
              <w:right w:val="nil"/>
            </w:tcBorders>
            <w:shd w:val="clear" w:color="000000" w:fill="FFFFFF"/>
            <w:noWrap/>
            <w:vAlign w:val="center"/>
            <w:hideMark/>
          </w:tcPr>
          <w:p w14:paraId="7D51643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7.79.1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367E398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25FBE" w14:textId="77777777" w:rsidR="0011199F" w:rsidRPr="00D133CB" w:rsidRDefault="0011199F" w:rsidP="00C65354">
            <w:pPr>
              <w:ind w:leftChars="281" w:left="618"/>
              <w:jc w:val="both"/>
              <w:rPr>
                <w:rFonts w:ascii="Arial" w:hAnsi="Arial" w:cs="Arial"/>
                <w:sz w:val="19"/>
                <w:szCs w:val="19"/>
              </w:rPr>
            </w:pPr>
            <w:r w:rsidRPr="00D133CB">
              <w:rPr>
                <w:rFonts w:ascii="Arial" w:hAnsi="Arial" w:cs="Arial"/>
                <w:sz w:val="19"/>
                <w:szCs w:val="19"/>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CFB21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104,869,260.00</w:t>
            </w:r>
          </w:p>
        </w:tc>
      </w:tr>
      <w:tr w:rsidR="0011199F" w:rsidRPr="00D133CB" w14:paraId="51156BC9"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E9752A0"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8</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E49801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64C2F20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25CAE48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D2863"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Participaciones, Aportaciones, Convenios, Incentivos Derivados de la Colaboración Fiscal y Fondos Distintos de Aportaciones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F36403"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3,166,857,374.00</w:t>
            </w:r>
          </w:p>
        </w:tc>
        <w:tc>
          <w:tcPr>
            <w:tcW w:w="2119" w:type="dxa"/>
            <w:tcBorders>
              <w:top w:val="nil"/>
              <w:left w:val="nil"/>
              <w:bottom w:val="nil"/>
              <w:right w:val="nil"/>
            </w:tcBorders>
            <w:shd w:val="clear" w:color="000000" w:fill="FFFFFF"/>
            <w:noWrap/>
            <w:vAlign w:val="bottom"/>
            <w:hideMark/>
          </w:tcPr>
          <w:p w14:paraId="18509F4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67FB5EFA"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1778426"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DB58BC7" w14:textId="77777777" w:rsidTr="00C65354">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3DD4F0E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auto" w:fill="auto"/>
            <w:noWrap/>
            <w:vAlign w:val="center"/>
            <w:hideMark/>
          </w:tcPr>
          <w:p w14:paraId="2D29F96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8.81</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3E519C1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BDDF69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auto" w:fill="auto"/>
            <w:vAlign w:val="center"/>
            <w:hideMark/>
          </w:tcPr>
          <w:p w14:paraId="6D4B0A8D"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Participaciones</w:t>
            </w:r>
          </w:p>
        </w:tc>
        <w:tc>
          <w:tcPr>
            <w:tcW w:w="1985" w:type="dxa"/>
            <w:tcBorders>
              <w:top w:val="nil"/>
              <w:left w:val="nil"/>
              <w:bottom w:val="single" w:sz="4" w:space="0" w:color="auto"/>
              <w:right w:val="single" w:sz="4" w:space="0" w:color="auto"/>
            </w:tcBorders>
            <w:shd w:val="clear" w:color="auto" w:fill="auto"/>
            <w:vAlign w:val="center"/>
            <w:hideMark/>
          </w:tcPr>
          <w:p w14:paraId="72E0A66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1,845,489,455.00</w:t>
            </w:r>
          </w:p>
        </w:tc>
        <w:tc>
          <w:tcPr>
            <w:tcW w:w="2119" w:type="dxa"/>
            <w:tcBorders>
              <w:top w:val="nil"/>
              <w:left w:val="nil"/>
              <w:bottom w:val="nil"/>
              <w:right w:val="nil"/>
            </w:tcBorders>
            <w:shd w:val="clear" w:color="000000" w:fill="FFFFFF"/>
            <w:noWrap/>
            <w:vAlign w:val="bottom"/>
            <w:hideMark/>
          </w:tcPr>
          <w:p w14:paraId="2F5D9052"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37662D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5FBAD621"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3B0418F3"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C0185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C72097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nil"/>
              <w:right w:val="nil"/>
            </w:tcBorders>
            <w:shd w:val="clear" w:color="000000" w:fill="FFFFFF"/>
            <w:noWrap/>
            <w:vAlign w:val="center"/>
            <w:hideMark/>
          </w:tcPr>
          <w:p w14:paraId="1DE2B20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8.81.1</w:t>
            </w:r>
          </w:p>
        </w:tc>
        <w:tc>
          <w:tcPr>
            <w:tcW w:w="292" w:type="dxa"/>
            <w:gridSpan w:val="5"/>
            <w:tcBorders>
              <w:top w:val="nil"/>
              <w:left w:val="nil"/>
              <w:bottom w:val="nil"/>
              <w:right w:val="nil"/>
            </w:tcBorders>
            <w:shd w:val="clear" w:color="000000" w:fill="FFFFFF"/>
            <w:noWrap/>
            <w:vAlign w:val="center"/>
            <w:hideMark/>
          </w:tcPr>
          <w:p w14:paraId="1CD4005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C1F09D7"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General de Participaciones</w:t>
            </w:r>
          </w:p>
        </w:tc>
        <w:tc>
          <w:tcPr>
            <w:tcW w:w="1985" w:type="dxa"/>
            <w:tcBorders>
              <w:top w:val="nil"/>
              <w:left w:val="nil"/>
              <w:bottom w:val="single" w:sz="4" w:space="0" w:color="auto"/>
              <w:right w:val="single" w:sz="4" w:space="0" w:color="auto"/>
            </w:tcBorders>
            <w:shd w:val="clear" w:color="auto" w:fill="auto"/>
            <w:vAlign w:val="center"/>
            <w:hideMark/>
          </w:tcPr>
          <w:p w14:paraId="1DC941F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1,139,692,842.00</w:t>
            </w:r>
          </w:p>
        </w:tc>
        <w:tc>
          <w:tcPr>
            <w:tcW w:w="2119" w:type="dxa"/>
            <w:tcBorders>
              <w:top w:val="nil"/>
              <w:left w:val="nil"/>
              <w:bottom w:val="nil"/>
              <w:right w:val="nil"/>
            </w:tcBorders>
            <w:shd w:val="clear" w:color="000000" w:fill="FFFFFF"/>
            <w:noWrap/>
            <w:vAlign w:val="bottom"/>
            <w:hideMark/>
          </w:tcPr>
          <w:p w14:paraId="4CF477C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59A4A97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1D07458E"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2909CD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73DFD3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028FAA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nil"/>
              <w:right w:val="nil"/>
            </w:tcBorders>
            <w:shd w:val="clear" w:color="000000" w:fill="FFFFFF"/>
            <w:noWrap/>
            <w:vAlign w:val="center"/>
            <w:hideMark/>
          </w:tcPr>
          <w:p w14:paraId="0F23DAC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8.81.2</w:t>
            </w:r>
          </w:p>
        </w:tc>
        <w:tc>
          <w:tcPr>
            <w:tcW w:w="292" w:type="dxa"/>
            <w:gridSpan w:val="5"/>
            <w:tcBorders>
              <w:top w:val="single" w:sz="4" w:space="0" w:color="auto"/>
              <w:left w:val="nil"/>
              <w:bottom w:val="nil"/>
              <w:right w:val="nil"/>
            </w:tcBorders>
            <w:shd w:val="clear" w:color="000000" w:fill="FFFFFF"/>
            <w:noWrap/>
            <w:vAlign w:val="center"/>
            <w:hideMark/>
          </w:tcPr>
          <w:p w14:paraId="6D8D4B3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608BD3B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de Fiscalización y Recaudación</w:t>
            </w:r>
          </w:p>
        </w:tc>
        <w:tc>
          <w:tcPr>
            <w:tcW w:w="1985" w:type="dxa"/>
            <w:tcBorders>
              <w:top w:val="nil"/>
              <w:left w:val="nil"/>
              <w:bottom w:val="single" w:sz="4" w:space="0" w:color="auto"/>
              <w:right w:val="single" w:sz="4" w:space="0" w:color="auto"/>
            </w:tcBorders>
            <w:shd w:val="clear" w:color="auto" w:fill="auto"/>
            <w:vAlign w:val="center"/>
            <w:hideMark/>
          </w:tcPr>
          <w:p w14:paraId="6F46508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106,312,556.00</w:t>
            </w:r>
          </w:p>
        </w:tc>
        <w:tc>
          <w:tcPr>
            <w:tcW w:w="2119" w:type="dxa"/>
            <w:tcBorders>
              <w:top w:val="nil"/>
              <w:left w:val="nil"/>
              <w:bottom w:val="nil"/>
              <w:right w:val="nil"/>
            </w:tcBorders>
            <w:shd w:val="clear" w:color="000000" w:fill="FFFFFF"/>
            <w:noWrap/>
            <w:vAlign w:val="bottom"/>
            <w:hideMark/>
          </w:tcPr>
          <w:p w14:paraId="778C093B"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524B13A5"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53D7A7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6A370FFE"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0DDF45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DF3A0B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668A6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8.81.3</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17C8748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02B852A"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de Fomento Municipal</w:t>
            </w:r>
          </w:p>
        </w:tc>
        <w:tc>
          <w:tcPr>
            <w:tcW w:w="1985" w:type="dxa"/>
            <w:tcBorders>
              <w:top w:val="nil"/>
              <w:left w:val="nil"/>
              <w:bottom w:val="single" w:sz="4" w:space="0" w:color="auto"/>
              <w:right w:val="single" w:sz="4" w:space="0" w:color="auto"/>
            </w:tcBorders>
            <w:shd w:val="clear" w:color="auto" w:fill="auto"/>
            <w:vAlign w:val="center"/>
            <w:hideMark/>
          </w:tcPr>
          <w:p w14:paraId="20A0441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382,970,910.00</w:t>
            </w:r>
          </w:p>
        </w:tc>
        <w:tc>
          <w:tcPr>
            <w:tcW w:w="2119" w:type="dxa"/>
            <w:tcBorders>
              <w:top w:val="nil"/>
              <w:left w:val="nil"/>
              <w:bottom w:val="nil"/>
              <w:right w:val="nil"/>
            </w:tcBorders>
            <w:shd w:val="clear" w:color="000000" w:fill="FFFFFF"/>
            <w:noWrap/>
            <w:vAlign w:val="bottom"/>
            <w:hideMark/>
          </w:tcPr>
          <w:p w14:paraId="3F622504"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3332E4D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42810203"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5F6BE99"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D6D7A7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C00C08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3E636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8.81.4</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41D084A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DC70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Especial sobre Producción y Servicios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48E82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27,227,757.00</w:t>
            </w:r>
          </w:p>
        </w:tc>
        <w:tc>
          <w:tcPr>
            <w:tcW w:w="2119" w:type="dxa"/>
            <w:tcBorders>
              <w:top w:val="nil"/>
              <w:left w:val="nil"/>
              <w:bottom w:val="nil"/>
              <w:right w:val="nil"/>
            </w:tcBorders>
            <w:shd w:val="clear" w:color="000000" w:fill="FFFFFF"/>
            <w:noWrap/>
            <w:vAlign w:val="bottom"/>
            <w:hideMark/>
          </w:tcPr>
          <w:p w14:paraId="1AFFECC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672B4D6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0344803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08BAF842"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15FAFB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589DC0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36F77F2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8.81.5</w:t>
            </w:r>
          </w:p>
        </w:tc>
        <w:tc>
          <w:tcPr>
            <w:tcW w:w="292" w:type="dxa"/>
            <w:gridSpan w:val="5"/>
            <w:tcBorders>
              <w:top w:val="single" w:sz="4" w:space="0" w:color="auto"/>
              <w:left w:val="nil"/>
              <w:bottom w:val="single" w:sz="4" w:space="0" w:color="auto"/>
              <w:right w:val="nil"/>
            </w:tcBorders>
            <w:shd w:val="clear" w:color="auto" w:fill="auto"/>
            <w:noWrap/>
            <w:vAlign w:val="center"/>
            <w:hideMark/>
          </w:tcPr>
          <w:p w14:paraId="4FD6D8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3EE7"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Especial sobre la venta final de gasolina y diésel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5BC24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53,540,013.00</w:t>
            </w:r>
          </w:p>
        </w:tc>
        <w:tc>
          <w:tcPr>
            <w:tcW w:w="2119" w:type="dxa"/>
            <w:tcBorders>
              <w:top w:val="nil"/>
              <w:left w:val="nil"/>
              <w:bottom w:val="nil"/>
              <w:right w:val="nil"/>
            </w:tcBorders>
            <w:shd w:val="clear" w:color="auto" w:fill="auto"/>
            <w:noWrap/>
            <w:vAlign w:val="bottom"/>
            <w:hideMark/>
          </w:tcPr>
          <w:p w14:paraId="4A3873D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2C0A564"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6395E68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1067A78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7D2BC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A98D02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37755D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8.81.6</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64241C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071F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Tenencia o uso de vehículos</w:t>
            </w:r>
          </w:p>
        </w:tc>
        <w:tc>
          <w:tcPr>
            <w:tcW w:w="1985" w:type="dxa"/>
            <w:tcBorders>
              <w:top w:val="nil"/>
              <w:left w:val="nil"/>
              <w:bottom w:val="single" w:sz="4" w:space="0" w:color="auto"/>
              <w:right w:val="single" w:sz="4" w:space="0" w:color="auto"/>
            </w:tcBorders>
            <w:shd w:val="clear" w:color="auto" w:fill="auto"/>
            <w:vAlign w:val="center"/>
            <w:hideMark/>
          </w:tcPr>
          <w:p w14:paraId="0701500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5867C59A"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01493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06A12F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D2F60AF"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392357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B1AE1A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right w:val="nil"/>
            </w:tcBorders>
            <w:shd w:val="clear" w:color="000000" w:fill="FFFFFF"/>
            <w:noWrap/>
            <w:vAlign w:val="center"/>
            <w:hideMark/>
          </w:tcPr>
          <w:p w14:paraId="614F13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8.81.7</w:t>
            </w:r>
          </w:p>
        </w:tc>
        <w:tc>
          <w:tcPr>
            <w:tcW w:w="292" w:type="dxa"/>
            <w:gridSpan w:val="5"/>
            <w:tcBorders>
              <w:top w:val="single" w:sz="4" w:space="0" w:color="auto"/>
              <w:left w:val="nil"/>
              <w:right w:val="nil"/>
            </w:tcBorders>
            <w:shd w:val="clear" w:color="000000" w:fill="FFFFFF"/>
            <w:noWrap/>
            <w:vAlign w:val="center"/>
            <w:hideMark/>
          </w:tcPr>
          <w:p w14:paraId="31A5C46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B7390"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Impuestos Estatales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3D293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19,245,377.00</w:t>
            </w:r>
          </w:p>
        </w:tc>
        <w:tc>
          <w:tcPr>
            <w:tcW w:w="2119" w:type="dxa"/>
            <w:tcBorders>
              <w:top w:val="nil"/>
              <w:left w:val="nil"/>
              <w:bottom w:val="nil"/>
              <w:right w:val="nil"/>
            </w:tcBorders>
            <w:shd w:val="clear" w:color="000000" w:fill="FFFFFF"/>
            <w:noWrap/>
            <w:vAlign w:val="bottom"/>
            <w:hideMark/>
          </w:tcPr>
          <w:p w14:paraId="7D63DF6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B7E4EE0"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37A4ED4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DF37F01"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2D9CF3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793B9AC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bottom w:val="single" w:sz="4" w:space="0" w:color="auto"/>
            </w:tcBorders>
            <w:shd w:val="clear" w:color="auto" w:fill="auto"/>
            <w:noWrap/>
            <w:vAlign w:val="center"/>
            <w:hideMark/>
          </w:tcPr>
          <w:p w14:paraId="7EAE2A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8.81.8</w:t>
            </w:r>
          </w:p>
        </w:tc>
        <w:tc>
          <w:tcPr>
            <w:tcW w:w="292" w:type="dxa"/>
            <w:gridSpan w:val="5"/>
            <w:tcBorders>
              <w:bottom w:val="single" w:sz="4" w:space="0" w:color="auto"/>
            </w:tcBorders>
            <w:shd w:val="clear" w:color="auto" w:fill="auto"/>
            <w:noWrap/>
            <w:vAlign w:val="center"/>
            <w:hideMark/>
          </w:tcPr>
          <w:p w14:paraId="7AABBD4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nil"/>
              <w:bottom w:val="single" w:sz="4" w:space="0" w:color="auto"/>
              <w:right w:val="single" w:sz="4" w:space="0" w:color="auto"/>
            </w:tcBorders>
            <w:shd w:val="clear" w:color="auto" w:fill="auto"/>
            <w:vAlign w:val="center"/>
            <w:hideMark/>
          </w:tcPr>
          <w:p w14:paraId="2989346C"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Fondo ISR </w:t>
            </w:r>
          </w:p>
        </w:tc>
        <w:tc>
          <w:tcPr>
            <w:tcW w:w="1985" w:type="dxa"/>
            <w:tcBorders>
              <w:top w:val="nil"/>
              <w:left w:val="nil"/>
              <w:bottom w:val="single" w:sz="4" w:space="0" w:color="auto"/>
              <w:right w:val="single" w:sz="4" w:space="0" w:color="auto"/>
            </w:tcBorders>
            <w:shd w:val="clear" w:color="auto" w:fill="auto"/>
            <w:vAlign w:val="center"/>
            <w:hideMark/>
          </w:tcPr>
          <w:p w14:paraId="0FACCEC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116,500,000.00</w:t>
            </w:r>
          </w:p>
        </w:tc>
        <w:tc>
          <w:tcPr>
            <w:tcW w:w="2119" w:type="dxa"/>
            <w:tcBorders>
              <w:top w:val="nil"/>
              <w:left w:val="nil"/>
              <w:bottom w:val="nil"/>
              <w:right w:val="nil"/>
            </w:tcBorders>
            <w:shd w:val="clear" w:color="auto" w:fill="auto"/>
            <w:noWrap/>
            <w:vAlign w:val="bottom"/>
            <w:hideMark/>
          </w:tcPr>
          <w:p w14:paraId="738677D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08AF9BF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3FF232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3D21F1A6"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015C374A"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bottom w:val="single" w:sz="4" w:space="0" w:color="auto"/>
            </w:tcBorders>
            <w:shd w:val="clear" w:color="000000" w:fill="FFFFFF"/>
            <w:noWrap/>
            <w:vAlign w:val="center"/>
          </w:tcPr>
          <w:p w14:paraId="49C1B0FA"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nil"/>
              <w:right w:val="nil"/>
            </w:tcBorders>
            <w:shd w:val="clear" w:color="000000" w:fill="FFFFFF"/>
            <w:noWrap/>
            <w:vAlign w:val="center"/>
          </w:tcPr>
          <w:p w14:paraId="26AF4F4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8.81.9</w:t>
            </w:r>
          </w:p>
        </w:tc>
        <w:tc>
          <w:tcPr>
            <w:tcW w:w="292" w:type="dxa"/>
            <w:gridSpan w:val="5"/>
            <w:tcBorders>
              <w:top w:val="single" w:sz="4" w:space="0" w:color="auto"/>
              <w:left w:val="nil"/>
              <w:bottom w:val="nil"/>
              <w:right w:val="single" w:sz="4" w:space="0" w:color="auto"/>
            </w:tcBorders>
            <w:shd w:val="clear" w:color="000000" w:fill="FFFFFF"/>
            <w:noWrap/>
            <w:vAlign w:val="center"/>
          </w:tcPr>
          <w:p w14:paraId="2E80F75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14:paraId="249C8B76" w14:textId="77777777" w:rsidR="0011199F" w:rsidRPr="00D133CB" w:rsidRDefault="0011199F" w:rsidP="00C65354">
            <w:pPr>
              <w:tabs>
                <w:tab w:val="left" w:pos="675"/>
              </w:tabs>
              <w:ind w:left="675"/>
              <w:jc w:val="both"/>
              <w:rPr>
                <w:rFonts w:ascii="Arial" w:hAnsi="Arial" w:cs="Arial"/>
                <w:sz w:val="19"/>
                <w:szCs w:val="19"/>
              </w:rPr>
            </w:pPr>
            <w:r w:rsidRPr="00D133CB">
              <w:rPr>
                <w:rFonts w:ascii="Arial" w:hAnsi="Arial" w:cs="Arial"/>
                <w:sz w:val="19"/>
                <w:szCs w:val="19"/>
              </w:rPr>
              <w:t>Fondo de Estabilización de los Ingresos de las Entidades   Federativas (FEIEF)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9EE7B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single" w:sz="4" w:space="0" w:color="auto"/>
              <w:bottom w:val="nil"/>
              <w:right w:val="nil"/>
            </w:tcBorders>
            <w:shd w:val="clear" w:color="000000" w:fill="FFFFFF"/>
            <w:noWrap/>
            <w:vAlign w:val="bottom"/>
          </w:tcPr>
          <w:p w14:paraId="7F2C13A5"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58FA9BAC"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213303B5" w14:textId="77777777" w:rsidR="0011199F" w:rsidRPr="00D133CB" w:rsidRDefault="0011199F" w:rsidP="00C65354">
            <w:pPr>
              <w:rPr>
                <w:rFonts w:ascii="Arial" w:hAnsi="Arial" w:cs="Arial"/>
                <w:sz w:val="19"/>
                <w:szCs w:val="19"/>
              </w:rPr>
            </w:pPr>
          </w:p>
        </w:tc>
      </w:tr>
      <w:tr w:rsidR="0011199F" w:rsidRPr="00D133CB" w14:paraId="04DD69AC" w14:textId="77777777" w:rsidTr="00C65354">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5A403E4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auto" w:fill="auto"/>
            <w:noWrap/>
            <w:vAlign w:val="center"/>
            <w:hideMark/>
          </w:tcPr>
          <w:p w14:paraId="6DA2F75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8.82</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1FF8EAD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558F7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auto" w:fill="auto"/>
            <w:vAlign w:val="center"/>
            <w:hideMark/>
          </w:tcPr>
          <w:p w14:paraId="0C6DE13D"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 xml:space="preserve">Aportaciones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669130"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1,278,035,541.00</w:t>
            </w:r>
          </w:p>
        </w:tc>
        <w:tc>
          <w:tcPr>
            <w:tcW w:w="2119" w:type="dxa"/>
            <w:tcBorders>
              <w:top w:val="nil"/>
              <w:left w:val="nil"/>
              <w:bottom w:val="nil"/>
              <w:right w:val="nil"/>
            </w:tcBorders>
            <w:shd w:val="clear" w:color="000000" w:fill="FFFFFF"/>
            <w:noWrap/>
            <w:vAlign w:val="bottom"/>
            <w:hideMark/>
          </w:tcPr>
          <w:p w14:paraId="6FDCC8D5"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041190E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0F0118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C9E74DE"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3D2BA81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4EDCC54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single" w:sz="4" w:space="0" w:color="auto"/>
              <w:right w:val="nil"/>
            </w:tcBorders>
            <w:shd w:val="clear" w:color="auto" w:fill="auto"/>
            <w:noWrap/>
            <w:vAlign w:val="center"/>
            <w:hideMark/>
          </w:tcPr>
          <w:p w14:paraId="068870B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8.82.1</w:t>
            </w:r>
          </w:p>
        </w:tc>
        <w:tc>
          <w:tcPr>
            <w:tcW w:w="292" w:type="dxa"/>
            <w:gridSpan w:val="5"/>
            <w:tcBorders>
              <w:top w:val="nil"/>
              <w:left w:val="nil"/>
              <w:bottom w:val="single" w:sz="4" w:space="0" w:color="auto"/>
              <w:right w:val="nil"/>
            </w:tcBorders>
            <w:shd w:val="clear" w:color="auto" w:fill="auto"/>
            <w:noWrap/>
            <w:vAlign w:val="center"/>
            <w:hideMark/>
          </w:tcPr>
          <w:p w14:paraId="3B57BF2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auto" w:fill="auto"/>
            <w:vAlign w:val="center"/>
            <w:hideMark/>
          </w:tcPr>
          <w:p w14:paraId="304CB28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Fondo de Aportaciones para la Infraestructura Social Municipal</w:t>
            </w:r>
          </w:p>
        </w:tc>
        <w:tc>
          <w:tcPr>
            <w:tcW w:w="1985" w:type="dxa"/>
            <w:tcBorders>
              <w:top w:val="nil"/>
              <w:left w:val="nil"/>
              <w:bottom w:val="single" w:sz="4" w:space="0" w:color="auto"/>
              <w:right w:val="single" w:sz="4" w:space="0" w:color="auto"/>
            </w:tcBorders>
            <w:shd w:val="clear" w:color="auto" w:fill="auto"/>
            <w:vAlign w:val="center"/>
            <w:hideMark/>
          </w:tcPr>
          <w:p w14:paraId="096AA95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313,653,364.00</w:t>
            </w:r>
          </w:p>
        </w:tc>
        <w:tc>
          <w:tcPr>
            <w:tcW w:w="2119" w:type="dxa"/>
            <w:tcBorders>
              <w:top w:val="nil"/>
              <w:left w:val="nil"/>
              <w:bottom w:val="nil"/>
              <w:right w:val="nil"/>
            </w:tcBorders>
            <w:shd w:val="clear" w:color="000000" w:fill="FFFFFF"/>
            <w:noWrap/>
            <w:vAlign w:val="bottom"/>
            <w:hideMark/>
          </w:tcPr>
          <w:p w14:paraId="5BEF011D"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B0A8A33"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E64D0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21CE1A1"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45F64A5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73" w:type="dxa"/>
            <w:gridSpan w:val="2"/>
            <w:tcBorders>
              <w:top w:val="single" w:sz="4" w:space="0" w:color="auto"/>
              <w:bottom w:val="single" w:sz="4" w:space="0" w:color="auto"/>
            </w:tcBorders>
            <w:shd w:val="clear" w:color="auto" w:fill="auto"/>
            <w:noWrap/>
            <w:vAlign w:val="center"/>
            <w:hideMark/>
          </w:tcPr>
          <w:p w14:paraId="148F59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5A69788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8.82.2</w:t>
            </w:r>
          </w:p>
        </w:tc>
        <w:tc>
          <w:tcPr>
            <w:tcW w:w="292" w:type="dxa"/>
            <w:gridSpan w:val="5"/>
            <w:tcBorders>
              <w:top w:val="single" w:sz="4" w:space="0" w:color="auto"/>
              <w:left w:val="nil"/>
              <w:bottom w:val="single" w:sz="4" w:space="0" w:color="auto"/>
              <w:right w:val="nil"/>
            </w:tcBorders>
            <w:shd w:val="clear" w:color="auto" w:fill="auto"/>
            <w:noWrap/>
            <w:vAlign w:val="center"/>
            <w:hideMark/>
          </w:tcPr>
          <w:p w14:paraId="1B4215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377E"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Fondo de Aportaciones para el Fortalecimiento de los Municipios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12BFE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964,382,177.00</w:t>
            </w:r>
          </w:p>
        </w:tc>
        <w:tc>
          <w:tcPr>
            <w:tcW w:w="2119" w:type="dxa"/>
            <w:tcBorders>
              <w:top w:val="nil"/>
              <w:left w:val="nil"/>
              <w:bottom w:val="nil"/>
              <w:right w:val="nil"/>
            </w:tcBorders>
            <w:shd w:val="clear" w:color="000000" w:fill="FFFFFF"/>
            <w:noWrap/>
            <w:vAlign w:val="bottom"/>
            <w:hideMark/>
          </w:tcPr>
          <w:p w14:paraId="3958E6A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296219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74934DC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1501B234"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908B8D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1EA7609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631C7A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EC4B44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B4599A8"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Convenios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2497E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1EE4328A"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373A5C2"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76AAE435"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000675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D1E2C8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9A068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69D8CEB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8.83.1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3D7EC0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D05E3"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Con la Federación o el Estado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2C79F3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3F3310D0"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518D8A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453B538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3C3F23A"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7A8953C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539" w:type="dxa"/>
            <w:gridSpan w:val="10"/>
            <w:tcBorders>
              <w:top w:val="single" w:sz="4" w:space="0" w:color="auto"/>
              <w:left w:val="nil"/>
              <w:bottom w:val="single" w:sz="4" w:space="0" w:color="auto"/>
              <w:right w:val="nil"/>
            </w:tcBorders>
            <w:shd w:val="clear" w:color="000000" w:fill="FFFFFF"/>
            <w:noWrap/>
            <w:vAlign w:val="center"/>
          </w:tcPr>
          <w:p w14:paraId="015F53E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8.84</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4122ACB2"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Incentivos Derivados de la Colaboración Fiscal</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A47F21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43,332,378.00</w:t>
            </w:r>
          </w:p>
        </w:tc>
        <w:tc>
          <w:tcPr>
            <w:tcW w:w="2119" w:type="dxa"/>
            <w:tcBorders>
              <w:top w:val="nil"/>
              <w:left w:val="nil"/>
              <w:bottom w:val="nil"/>
              <w:right w:val="nil"/>
            </w:tcBorders>
            <w:shd w:val="clear" w:color="000000" w:fill="FFFFFF"/>
            <w:noWrap/>
            <w:vAlign w:val="bottom"/>
          </w:tcPr>
          <w:p w14:paraId="651F6852" w14:textId="77777777" w:rsidR="0011199F" w:rsidRPr="00D133CB" w:rsidRDefault="0011199F" w:rsidP="00C65354">
            <w:pPr>
              <w:rPr>
                <w:rFonts w:ascii="Arial" w:hAnsi="Arial" w:cs="Arial"/>
                <w:b/>
                <w:bCs/>
                <w:sz w:val="19"/>
                <w:szCs w:val="19"/>
              </w:rPr>
            </w:pPr>
          </w:p>
        </w:tc>
        <w:tc>
          <w:tcPr>
            <w:tcW w:w="1808" w:type="dxa"/>
            <w:tcBorders>
              <w:top w:val="nil"/>
              <w:left w:val="nil"/>
              <w:bottom w:val="nil"/>
              <w:right w:val="nil"/>
            </w:tcBorders>
            <w:shd w:val="clear" w:color="000000" w:fill="FFFFFF"/>
            <w:noWrap/>
            <w:vAlign w:val="center"/>
          </w:tcPr>
          <w:p w14:paraId="00F1F752"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5DA9BCFC" w14:textId="77777777" w:rsidR="0011199F" w:rsidRPr="00D133CB" w:rsidRDefault="0011199F" w:rsidP="00C65354">
            <w:pPr>
              <w:rPr>
                <w:rFonts w:ascii="Arial" w:hAnsi="Arial" w:cs="Arial"/>
                <w:sz w:val="19"/>
                <w:szCs w:val="19"/>
              </w:rPr>
            </w:pPr>
          </w:p>
        </w:tc>
      </w:tr>
      <w:tr w:rsidR="0011199F" w:rsidRPr="00D133CB" w14:paraId="0BA7ECF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F3088D8"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23FE7DEB"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753163BB" w14:textId="77777777" w:rsidR="0011199F" w:rsidRPr="00D133CB" w:rsidRDefault="0011199F" w:rsidP="00C65354">
            <w:pPr>
              <w:rPr>
                <w:rFonts w:ascii="Arial" w:hAnsi="Arial" w:cs="Arial"/>
                <w:sz w:val="19"/>
                <w:szCs w:val="19"/>
              </w:rPr>
            </w:pPr>
            <w:r w:rsidRPr="00D133CB">
              <w:rPr>
                <w:rFonts w:ascii="Arial" w:hAnsi="Arial" w:cs="Arial"/>
                <w:sz w:val="19"/>
                <w:szCs w:val="19"/>
              </w:rPr>
              <w:t>8.84.1</w:t>
            </w:r>
          </w:p>
        </w:tc>
        <w:tc>
          <w:tcPr>
            <w:tcW w:w="292" w:type="dxa"/>
            <w:gridSpan w:val="5"/>
            <w:tcBorders>
              <w:top w:val="single" w:sz="4" w:space="0" w:color="auto"/>
              <w:left w:val="nil"/>
              <w:bottom w:val="single" w:sz="4" w:space="0" w:color="auto"/>
              <w:right w:val="nil"/>
            </w:tcBorders>
            <w:shd w:val="clear" w:color="000000" w:fill="FFFFFF"/>
            <w:noWrap/>
            <w:vAlign w:val="center"/>
          </w:tcPr>
          <w:p w14:paraId="02CBE217"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62AD483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CB8919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26,560,868.00</w:t>
            </w:r>
          </w:p>
        </w:tc>
        <w:tc>
          <w:tcPr>
            <w:tcW w:w="2119" w:type="dxa"/>
            <w:tcBorders>
              <w:top w:val="nil"/>
              <w:left w:val="nil"/>
              <w:bottom w:val="nil"/>
              <w:right w:val="nil"/>
            </w:tcBorders>
            <w:shd w:val="clear" w:color="000000" w:fill="FFFFFF"/>
            <w:noWrap/>
            <w:vAlign w:val="bottom"/>
          </w:tcPr>
          <w:p w14:paraId="3FB556DF"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2AD271C5"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6663545A" w14:textId="77777777" w:rsidR="0011199F" w:rsidRPr="00D133CB" w:rsidRDefault="0011199F" w:rsidP="00C65354">
            <w:pPr>
              <w:rPr>
                <w:rFonts w:ascii="Arial" w:hAnsi="Arial" w:cs="Arial"/>
                <w:sz w:val="19"/>
                <w:szCs w:val="19"/>
              </w:rPr>
            </w:pPr>
          </w:p>
        </w:tc>
      </w:tr>
      <w:tr w:rsidR="0011199F" w:rsidRPr="00D133CB" w14:paraId="549E5F69"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443AABA1"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19D7088C"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696F9A27" w14:textId="77777777" w:rsidR="0011199F" w:rsidRPr="00D133CB" w:rsidRDefault="0011199F" w:rsidP="00C65354">
            <w:pPr>
              <w:rPr>
                <w:rFonts w:ascii="Arial" w:hAnsi="Arial" w:cs="Arial"/>
                <w:sz w:val="19"/>
                <w:szCs w:val="19"/>
              </w:rPr>
            </w:pPr>
            <w:r w:rsidRPr="00D133CB">
              <w:rPr>
                <w:rFonts w:ascii="Arial" w:hAnsi="Arial" w:cs="Arial"/>
                <w:sz w:val="19"/>
                <w:szCs w:val="19"/>
              </w:rPr>
              <w:t>8.84.2</w:t>
            </w:r>
          </w:p>
        </w:tc>
        <w:tc>
          <w:tcPr>
            <w:tcW w:w="292" w:type="dxa"/>
            <w:gridSpan w:val="5"/>
            <w:tcBorders>
              <w:top w:val="single" w:sz="4" w:space="0" w:color="auto"/>
              <w:left w:val="nil"/>
              <w:bottom w:val="single" w:sz="4" w:space="0" w:color="auto"/>
              <w:right w:val="nil"/>
            </w:tcBorders>
            <w:shd w:val="clear" w:color="000000" w:fill="FFFFFF"/>
            <w:noWrap/>
            <w:vAlign w:val="center"/>
          </w:tcPr>
          <w:p w14:paraId="7979CC51"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50A02CD2"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Fondo de compensación del 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BE4559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3,188,506.00</w:t>
            </w:r>
          </w:p>
        </w:tc>
        <w:tc>
          <w:tcPr>
            <w:tcW w:w="2119" w:type="dxa"/>
            <w:tcBorders>
              <w:top w:val="nil"/>
              <w:left w:val="nil"/>
              <w:bottom w:val="nil"/>
              <w:right w:val="nil"/>
            </w:tcBorders>
            <w:shd w:val="clear" w:color="000000" w:fill="FFFFFF"/>
            <w:noWrap/>
            <w:vAlign w:val="bottom"/>
          </w:tcPr>
          <w:p w14:paraId="71B58CBA"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5CE49ED9"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9AEDE99" w14:textId="77777777" w:rsidR="0011199F" w:rsidRPr="00D133CB" w:rsidRDefault="0011199F" w:rsidP="00C65354">
            <w:pPr>
              <w:rPr>
                <w:rFonts w:ascii="Arial" w:hAnsi="Arial" w:cs="Arial"/>
                <w:sz w:val="19"/>
                <w:szCs w:val="19"/>
              </w:rPr>
            </w:pPr>
          </w:p>
        </w:tc>
      </w:tr>
      <w:tr w:rsidR="0011199F" w:rsidRPr="00D133CB" w14:paraId="7B7ABC57"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5ABF1217"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6F25D91D"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1A0728CB" w14:textId="77777777" w:rsidR="0011199F" w:rsidRPr="00D133CB" w:rsidRDefault="0011199F" w:rsidP="00C65354">
            <w:pPr>
              <w:rPr>
                <w:rFonts w:ascii="Arial" w:hAnsi="Arial" w:cs="Arial"/>
                <w:sz w:val="19"/>
                <w:szCs w:val="19"/>
              </w:rPr>
            </w:pPr>
            <w:r w:rsidRPr="00D133CB">
              <w:rPr>
                <w:rFonts w:ascii="Arial" w:hAnsi="Arial" w:cs="Arial"/>
                <w:sz w:val="19"/>
                <w:szCs w:val="19"/>
              </w:rPr>
              <w:t>8.84.3</w:t>
            </w:r>
          </w:p>
        </w:tc>
        <w:tc>
          <w:tcPr>
            <w:tcW w:w="292" w:type="dxa"/>
            <w:gridSpan w:val="5"/>
            <w:tcBorders>
              <w:top w:val="single" w:sz="4" w:space="0" w:color="auto"/>
              <w:left w:val="nil"/>
              <w:bottom w:val="single" w:sz="4" w:space="0" w:color="auto"/>
              <w:right w:val="nil"/>
            </w:tcBorders>
            <w:shd w:val="clear" w:color="000000" w:fill="FFFFFF"/>
            <w:noWrap/>
            <w:vAlign w:val="center"/>
          </w:tcPr>
          <w:p w14:paraId="1FB4C5F2"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751A925A"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impuestas por autoridades federales, no fiscales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76D84C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tcPr>
          <w:p w14:paraId="5F8C7AEC"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2B549065"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6634324E" w14:textId="77777777" w:rsidR="0011199F" w:rsidRPr="00D133CB" w:rsidRDefault="0011199F" w:rsidP="00C65354">
            <w:pPr>
              <w:rPr>
                <w:rFonts w:ascii="Arial" w:hAnsi="Arial" w:cs="Arial"/>
                <w:sz w:val="19"/>
                <w:szCs w:val="19"/>
              </w:rPr>
            </w:pPr>
          </w:p>
        </w:tc>
      </w:tr>
      <w:tr w:rsidR="0011199F" w:rsidRPr="00D133CB" w14:paraId="69EFB3C2"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2E9845ED"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22BF535D"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20EDEE74" w14:textId="77777777" w:rsidR="0011199F" w:rsidRPr="00D133CB" w:rsidRDefault="0011199F" w:rsidP="00C65354">
            <w:pPr>
              <w:rPr>
                <w:rFonts w:ascii="Arial" w:hAnsi="Arial" w:cs="Arial"/>
                <w:sz w:val="19"/>
                <w:szCs w:val="19"/>
              </w:rPr>
            </w:pPr>
            <w:r w:rsidRPr="00D133CB">
              <w:rPr>
                <w:rFonts w:ascii="Arial" w:hAnsi="Arial" w:cs="Arial"/>
                <w:sz w:val="19"/>
                <w:szCs w:val="19"/>
              </w:rPr>
              <w:t>8.84.4</w:t>
            </w:r>
          </w:p>
        </w:tc>
        <w:tc>
          <w:tcPr>
            <w:tcW w:w="292" w:type="dxa"/>
            <w:gridSpan w:val="5"/>
            <w:tcBorders>
              <w:top w:val="single" w:sz="4" w:space="0" w:color="auto"/>
              <w:left w:val="nil"/>
              <w:bottom w:val="single" w:sz="4" w:space="0" w:color="auto"/>
              <w:right w:val="nil"/>
            </w:tcBorders>
            <w:shd w:val="clear" w:color="000000" w:fill="FFFFFF"/>
            <w:noWrap/>
            <w:vAlign w:val="center"/>
          </w:tcPr>
          <w:p w14:paraId="62E19F8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04B29BAC" w14:textId="77777777" w:rsidR="0011199F" w:rsidRPr="00D133CB" w:rsidRDefault="0011199F" w:rsidP="00C65354">
            <w:pPr>
              <w:ind w:firstLineChars="400" w:firstLine="760"/>
              <w:rPr>
                <w:rFonts w:ascii="Arial" w:hAnsi="Arial" w:cs="Arial"/>
                <w:sz w:val="19"/>
                <w:szCs w:val="19"/>
                <w:highlight w:val="yellow"/>
              </w:rPr>
            </w:pPr>
            <w:r w:rsidRPr="00D133CB">
              <w:rPr>
                <w:rFonts w:ascii="Arial" w:hAnsi="Arial" w:cs="Arial"/>
                <w:sz w:val="19"/>
                <w:szCs w:val="19"/>
              </w:rPr>
              <w:t>ISR por enajenación de bienes inmuebles (Art 126 LISR)</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30AD8D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13,583,004.00</w:t>
            </w:r>
          </w:p>
        </w:tc>
        <w:tc>
          <w:tcPr>
            <w:tcW w:w="2119" w:type="dxa"/>
            <w:tcBorders>
              <w:top w:val="nil"/>
              <w:left w:val="nil"/>
              <w:bottom w:val="nil"/>
              <w:right w:val="nil"/>
            </w:tcBorders>
            <w:shd w:val="clear" w:color="000000" w:fill="FFFFFF"/>
            <w:noWrap/>
            <w:vAlign w:val="bottom"/>
          </w:tcPr>
          <w:p w14:paraId="622DBB9F"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0F83A4D9"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857C364" w14:textId="77777777" w:rsidR="0011199F" w:rsidRPr="00D133CB" w:rsidRDefault="0011199F" w:rsidP="00C65354">
            <w:pPr>
              <w:rPr>
                <w:rFonts w:ascii="Arial" w:hAnsi="Arial" w:cs="Arial"/>
                <w:sz w:val="19"/>
                <w:szCs w:val="19"/>
              </w:rPr>
            </w:pPr>
          </w:p>
        </w:tc>
      </w:tr>
      <w:tr w:rsidR="0011199F" w:rsidRPr="00D133CB" w14:paraId="5CCC0B37"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BD010E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825A9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07D1C74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15D7044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BD994"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Transferencias, Asignaciones, Subsidios y Subvenciones, y Pensiones y Jubilaciones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66EF0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46ED183E"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10C7D28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5CE51E66"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2F416F4"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AD726D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4AFA6C4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0419065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F15C9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11D0771D"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 xml:space="preserve">Transferencias y Asignaciones </w:t>
            </w:r>
          </w:p>
        </w:tc>
        <w:tc>
          <w:tcPr>
            <w:tcW w:w="1985" w:type="dxa"/>
            <w:tcBorders>
              <w:top w:val="nil"/>
              <w:left w:val="nil"/>
              <w:bottom w:val="single" w:sz="4" w:space="0" w:color="auto"/>
              <w:right w:val="single" w:sz="4" w:space="0" w:color="auto"/>
            </w:tcBorders>
            <w:shd w:val="clear" w:color="000000" w:fill="FFFFFF"/>
            <w:vAlign w:val="center"/>
            <w:hideMark/>
          </w:tcPr>
          <w:p w14:paraId="05763B6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3D183CF"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7BA682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053B673C"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2AABD75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921644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1110F9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6903AB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9.91.1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7629926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CF3C"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Transferencias y Asignaciones</w:t>
            </w:r>
          </w:p>
        </w:tc>
        <w:tc>
          <w:tcPr>
            <w:tcW w:w="1985" w:type="dxa"/>
            <w:tcBorders>
              <w:top w:val="nil"/>
              <w:left w:val="nil"/>
              <w:bottom w:val="single" w:sz="4" w:space="0" w:color="auto"/>
              <w:right w:val="single" w:sz="4" w:space="0" w:color="auto"/>
            </w:tcBorders>
            <w:shd w:val="clear" w:color="000000" w:fill="FFFFFF"/>
            <w:vAlign w:val="center"/>
            <w:hideMark/>
          </w:tcPr>
          <w:p w14:paraId="78D8009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119BB23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1D10D08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91BCD9D"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3E934617" w14:textId="77777777" w:rsidTr="00C65354">
        <w:trPr>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D707C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7F62ED7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13CD61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5EDB42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B26064D"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Subsidios y Subvenciones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CC9DA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40C8D5E0"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73C1D3C7"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6DE67E97"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DCFAF1F"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2F4B51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70D46AA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00B87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9.93.1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755CA0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41A4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Subsidios y Subvenciones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C1B18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62C51CE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3EF2A9FA"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7E6FB069"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5AD5391"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37DFF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53B4E1B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9.95</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D43B8D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A16F30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D758AF0"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Pensiones y Jubilaciones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15FF2A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8ECC5D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1E6F76EB"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531E1B9"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141DB0C" w14:textId="77777777" w:rsidTr="00C65354">
        <w:trPr>
          <w:trHeight w:val="225"/>
        </w:trPr>
        <w:tc>
          <w:tcPr>
            <w:tcW w:w="308" w:type="dxa"/>
            <w:gridSpan w:val="2"/>
            <w:tcBorders>
              <w:top w:val="nil"/>
              <w:left w:val="single" w:sz="4" w:space="0" w:color="auto"/>
              <w:bottom w:val="single" w:sz="4" w:space="0" w:color="auto"/>
            </w:tcBorders>
            <w:shd w:val="clear" w:color="000000" w:fill="FFFFFF"/>
            <w:noWrap/>
            <w:vAlign w:val="center"/>
            <w:hideMark/>
          </w:tcPr>
          <w:p w14:paraId="756BC7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nil"/>
              <w:bottom w:val="single" w:sz="4" w:space="0" w:color="auto"/>
            </w:tcBorders>
            <w:shd w:val="clear" w:color="000000" w:fill="FFFFFF"/>
            <w:noWrap/>
            <w:vAlign w:val="center"/>
            <w:hideMark/>
          </w:tcPr>
          <w:p w14:paraId="42E2B32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nil"/>
              <w:right w:val="nil"/>
            </w:tcBorders>
            <w:shd w:val="clear" w:color="000000" w:fill="FFFFFF"/>
            <w:noWrap/>
            <w:vAlign w:val="center"/>
            <w:hideMark/>
          </w:tcPr>
          <w:p w14:paraId="0DFFE55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9.95.1</w:t>
            </w:r>
          </w:p>
        </w:tc>
        <w:tc>
          <w:tcPr>
            <w:tcW w:w="292" w:type="dxa"/>
            <w:gridSpan w:val="5"/>
            <w:tcBorders>
              <w:top w:val="nil"/>
              <w:left w:val="nil"/>
              <w:bottom w:val="nil"/>
              <w:right w:val="nil"/>
            </w:tcBorders>
            <w:shd w:val="clear" w:color="000000" w:fill="FFFFFF"/>
            <w:noWrap/>
            <w:vAlign w:val="center"/>
            <w:hideMark/>
          </w:tcPr>
          <w:p w14:paraId="2D0F06D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48628B8"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Pensiones y Jubilaciones </w:t>
            </w:r>
          </w:p>
        </w:tc>
        <w:tc>
          <w:tcPr>
            <w:tcW w:w="1985" w:type="dxa"/>
            <w:tcBorders>
              <w:top w:val="nil"/>
              <w:left w:val="nil"/>
              <w:bottom w:val="single" w:sz="4" w:space="0" w:color="auto"/>
              <w:right w:val="single" w:sz="4" w:space="0" w:color="auto"/>
            </w:tcBorders>
            <w:shd w:val="clear" w:color="000000" w:fill="FFFFFF"/>
            <w:vAlign w:val="center"/>
            <w:hideMark/>
          </w:tcPr>
          <w:p w14:paraId="19D4E0A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16BC31C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4CCE6C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62414E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2F88224"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67D36F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CB3B4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4510E64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345FA28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B530F"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Ingresos derivados de Financiamientos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DE58D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3E03FE2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A39551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44830F8E"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C48E8D8"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2A58AD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63CBA24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0.01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61D980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85CE47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auto" w:fill="FFFFFF"/>
            <w:vAlign w:val="center"/>
            <w:hideMark/>
          </w:tcPr>
          <w:p w14:paraId="6EB44525"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Endeudamiento interno</w:t>
            </w:r>
          </w:p>
        </w:tc>
        <w:tc>
          <w:tcPr>
            <w:tcW w:w="1985" w:type="dxa"/>
            <w:tcBorders>
              <w:top w:val="nil"/>
              <w:left w:val="nil"/>
              <w:bottom w:val="single" w:sz="4" w:space="0" w:color="auto"/>
              <w:right w:val="single" w:sz="4" w:space="0" w:color="auto"/>
            </w:tcBorders>
            <w:shd w:val="clear" w:color="000000" w:fill="FFFFFF"/>
            <w:vAlign w:val="center"/>
            <w:hideMark/>
          </w:tcPr>
          <w:p w14:paraId="14CD9FF2"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F7DB200"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04226E7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7F565A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3CF1A9A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4197D0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0DDAE1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tcBorders>
            <w:shd w:val="clear" w:color="000000" w:fill="FFFFFF"/>
            <w:noWrap/>
            <w:vAlign w:val="center"/>
            <w:hideMark/>
          </w:tcPr>
          <w:p w14:paraId="236B6AD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0.01.1</w:t>
            </w:r>
          </w:p>
        </w:tc>
        <w:tc>
          <w:tcPr>
            <w:tcW w:w="292" w:type="dxa"/>
            <w:gridSpan w:val="5"/>
            <w:tcBorders>
              <w:top w:val="single" w:sz="4" w:space="0" w:color="auto"/>
              <w:bottom w:val="single" w:sz="4" w:space="0" w:color="auto"/>
              <w:right w:val="single" w:sz="4" w:space="0" w:color="auto"/>
            </w:tcBorders>
            <w:shd w:val="clear" w:color="000000" w:fill="FFFFFF"/>
            <w:noWrap/>
            <w:vAlign w:val="center"/>
            <w:hideMark/>
          </w:tcPr>
          <w:p w14:paraId="6AEF6BF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DA7BC" w14:textId="77777777" w:rsidR="0011199F" w:rsidRPr="00D133CB" w:rsidRDefault="0011199F" w:rsidP="00C65354">
            <w:pPr>
              <w:ind w:firstLineChars="200" w:firstLine="380"/>
              <w:jc w:val="both"/>
              <w:rPr>
                <w:rFonts w:ascii="Arial" w:hAnsi="Arial" w:cs="Arial"/>
                <w:sz w:val="19"/>
                <w:szCs w:val="19"/>
              </w:rPr>
            </w:pPr>
            <w:r w:rsidRPr="00D133CB">
              <w:rPr>
                <w:rFonts w:ascii="Arial" w:hAnsi="Arial" w:cs="Arial"/>
                <w:sz w:val="19"/>
                <w:szCs w:val="19"/>
              </w:rPr>
              <w:t xml:space="preserve">         Endeudamiento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8E2B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3D4F47D9"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5842BE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A95B94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6739CB2"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E05D20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tcBorders>
            <w:shd w:val="clear" w:color="000000" w:fill="FFFFFF"/>
            <w:noWrap/>
            <w:vAlign w:val="center"/>
          </w:tcPr>
          <w:p w14:paraId="6057C53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0.03</w:t>
            </w:r>
          </w:p>
        </w:tc>
        <w:tc>
          <w:tcPr>
            <w:tcW w:w="674" w:type="dxa"/>
            <w:gridSpan w:val="3"/>
            <w:tcBorders>
              <w:top w:val="single" w:sz="4" w:space="0" w:color="auto"/>
              <w:left w:val="nil"/>
              <w:bottom w:val="single" w:sz="4" w:space="0" w:color="auto"/>
            </w:tcBorders>
            <w:shd w:val="clear" w:color="000000" w:fill="FFFFFF"/>
            <w:noWrap/>
            <w:vAlign w:val="center"/>
          </w:tcPr>
          <w:p w14:paraId="2234B06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bottom w:val="single" w:sz="4" w:space="0" w:color="auto"/>
              <w:right w:val="single" w:sz="4" w:space="0" w:color="auto"/>
            </w:tcBorders>
            <w:shd w:val="clear" w:color="000000" w:fill="FFFFFF"/>
            <w:noWrap/>
            <w:vAlign w:val="center"/>
          </w:tcPr>
          <w:p w14:paraId="5A615EA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tcPr>
          <w:p w14:paraId="6479F035"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501078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tcPr>
          <w:p w14:paraId="038AC3ED"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7D8B1490"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5BA0E4BA" w14:textId="77777777" w:rsidR="0011199F" w:rsidRPr="00D133CB" w:rsidRDefault="0011199F" w:rsidP="00C65354">
            <w:pPr>
              <w:rPr>
                <w:rFonts w:ascii="Arial" w:hAnsi="Arial" w:cs="Arial"/>
                <w:sz w:val="19"/>
                <w:szCs w:val="19"/>
              </w:rPr>
            </w:pPr>
          </w:p>
        </w:tc>
      </w:tr>
      <w:tr w:rsidR="0011199F" w:rsidRPr="00D133CB" w14:paraId="3385E32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5C4F2C6F"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bottom w:val="single" w:sz="4" w:space="0" w:color="auto"/>
            </w:tcBorders>
            <w:shd w:val="clear" w:color="000000" w:fill="FFFFFF"/>
            <w:noWrap/>
            <w:vAlign w:val="center"/>
          </w:tcPr>
          <w:p w14:paraId="64687B02"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tcBorders>
            <w:shd w:val="clear" w:color="000000" w:fill="FFFFFF"/>
            <w:noWrap/>
            <w:vAlign w:val="center"/>
          </w:tcPr>
          <w:p w14:paraId="1743F0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0.03.1</w:t>
            </w:r>
          </w:p>
        </w:tc>
        <w:tc>
          <w:tcPr>
            <w:tcW w:w="292" w:type="dxa"/>
            <w:gridSpan w:val="5"/>
            <w:tcBorders>
              <w:top w:val="single" w:sz="4" w:space="0" w:color="auto"/>
              <w:bottom w:val="single" w:sz="4" w:space="0" w:color="auto"/>
              <w:right w:val="single" w:sz="4" w:space="0" w:color="auto"/>
            </w:tcBorders>
            <w:shd w:val="clear" w:color="000000" w:fill="FFFFFF"/>
            <w:noWrap/>
            <w:vAlign w:val="center"/>
          </w:tcPr>
          <w:p w14:paraId="245B9FB3"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tcPr>
          <w:p w14:paraId="6A0A4C20" w14:textId="77777777" w:rsidR="0011199F" w:rsidRPr="00D133CB" w:rsidRDefault="0011199F" w:rsidP="00C65354">
            <w:pPr>
              <w:ind w:firstLineChars="200" w:firstLine="380"/>
              <w:jc w:val="both"/>
              <w:rPr>
                <w:rFonts w:ascii="Arial" w:hAnsi="Arial" w:cs="Arial"/>
                <w:sz w:val="19"/>
                <w:szCs w:val="19"/>
              </w:rPr>
            </w:pPr>
            <w:r w:rsidRPr="00D133CB">
              <w:rPr>
                <w:rFonts w:ascii="Arial" w:hAnsi="Arial" w:cs="Arial"/>
                <w:sz w:val="19"/>
                <w:szCs w:val="19"/>
              </w:rPr>
              <w:t xml:space="preserve">        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817470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tcPr>
          <w:p w14:paraId="200BFA56"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068F6A38"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6EAA9EE" w14:textId="77777777" w:rsidR="0011199F" w:rsidRPr="00D133CB" w:rsidRDefault="0011199F" w:rsidP="00C65354">
            <w:pPr>
              <w:rPr>
                <w:rFonts w:ascii="Arial" w:hAnsi="Arial" w:cs="Arial"/>
                <w:sz w:val="19"/>
                <w:szCs w:val="19"/>
              </w:rPr>
            </w:pPr>
          </w:p>
        </w:tc>
      </w:tr>
    </w:tbl>
    <w:p w14:paraId="32684B40" w14:textId="77777777" w:rsidR="0011199F" w:rsidRPr="00C64B83" w:rsidRDefault="0011199F" w:rsidP="004E0390">
      <w:pPr>
        <w:spacing w:after="0" w:line="240" w:lineRule="auto"/>
        <w:jc w:val="both"/>
        <w:rPr>
          <w:rFonts w:ascii="Arial" w:eastAsia="Calibri" w:hAnsi="Arial" w:cs="Arial"/>
          <w:snapToGrid w:val="0"/>
        </w:rPr>
      </w:pPr>
    </w:p>
    <w:p w14:paraId="661BA84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 xml:space="preserve">Los ingresos que se presentan en el rubro 7 por concepto de venta de bienes, prestación de servicios y otros ingresos del presente artículo, corresponden a Ingresos de los organismos descentralizados y empresas paramunicipales y se muestran para efectos de transparencia. Sin embargo, no suman al importe total de los ingresos del Municipio de Mérida, ya que cada uno de dichos organismos maneja sus recursos </w:t>
      </w:r>
      <w:proofErr w:type="gramStart"/>
      <w:r w:rsidRPr="00C64B83">
        <w:rPr>
          <w:rFonts w:ascii="Arial" w:eastAsia="Calibri" w:hAnsi="Arial" w:cs="Arial"/>
          <w:snapToGrid w:val="0"/>
        </w:rPr>
        <w:t>de acuerdo a</w:t>
      </w:r>
      <w:proofErr w:type="gramEnd"/>
      <w:r w:rsidRPr="00C64B83">
        <w:rPr>
          <w:rFonts w:ascii="Arial" w:eastAsia="Calibri" w:hAnsi="Arial" w:cs="Arial"/>
          <w:snapToGrid w:val="0"/>
        </w:rPr>
        <w:t xml:space="preserve"> sus estatutos y constitución </w:t>
      </w:r>
      <w:r w:rsidRPr="00C64B83">
        <w:rPr>
          <w:rFonts w:ascii="Arial" w:eastAsia="Calibri" w:hAnsi="Arial" w:cs="Arial"/>
          <w:snapToGrid w:val="0"/>
        </w:rPr>
        <w:lastRenderedPageBreak/>
        <w:t>internos y gozan de autonomía de gestión, personalidad jurídica y patrimonio propio, cualquiera que sea la forma y estructura legal que se adopte para el debido cumplimiento de su objeto y conforme al acuerdo de creación, de acuerdo al artículo 122 de la Ley de Gobierno de los Municipios del Estado de Yucatán.</w:t>
      </w:r>
    </w:p>
    <w:p w14:paraId="4E14417A" w14:textId="77777777" w:rsidR="0011199F" w:rsidRPr="00C64B83" w:rsidRDefault="0011199F" w:rsidP="004E0390">
      <w:pPr>
        <w:widowControl w:val="0"/>
        <w:autoSpaceDE w:val="0"/>
        <w:autoSpaceDN w:val="0"/>
        <w:adjustRightInd w:val="0"/>
        <w:spacing w:after="0" w:line="240" w:lineRule="auto"/>
        <w:jc w:val="both"/>
        <w:rPr>
          <w:rFonts w:ascii="Arial" w:eastAsia="Calibri" w:hAnsi="Arial" w:cs="Arial"/>
          <w:b/>
          <w:snapToGrid w:val="0"/>
        </w:rPr>
      </w:pPr>
    </w:p>
    <w:p w14:paraId="7A20C54D"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b/>
          <w:snapToGrid w:val="0"/>
        </w:rPr>
      </w:pPr>
      <w:r w:rsidRPr="00C64B83">
        <w:rPr>
          <w:rFonts w:ascii="Arial" w:eastAsia="Calibri" w:hAnsi="Arial" w:cs="Arial"/>
          <w:b/>
          <w:snapToGrid w:val="0"/>
        </w:rPr>
        <w:t xml:space="preserve">Artículo 4. </w:t>
      </w:r>
      <w:r w:rsidRPr="00C64B83">
        <w:rPr>
          <w:rFonts w:ascii="Arial" w:hAnsi="Arial" w:cs="Arial"/>
        </w:rPr>
        <w:t>El total de ingresos para el ejercicio fiscal 2025 será de</w:t>
      </w:r>
      <w:r w:rsidRPr="00C64B83">
        <w:rPr>
          <w:rFonts w:ascii="Arial" w:eastAsia="Calibri" w:hAnsi="Arial" w:cs="Arial"/>
          <w:snapToGrid w:val="0"/>
        </w:rPr>
        <w:t xml:space="preserve"> </w:t>
      </w:r>
      <w:r w:rsidRPr="00C64B83">
        <w:rPr>
          <w:rFonts w:ascii="Arial" w:eastAsia="Calibri" w:hAnsi="Arial" w:cs="Arial"/>
          <w:b/>
          <w:bCs/>
          <w:snapToGrid w:val="0"/>
        </w:rPr>
        <w:t>$ 6,188,821,981.00</w:t>
      </w:r>
      <w:r w:rsidRPr="00C64B83">
        <w:rPr>
          <w:rFonts w:ascii="Arial" w:eastAsia="Calibri" w:hAnsi="Arial" w:cs="Arial"/>
          <w:snapToGrid w:val="0"/>
        </w:rPr>
        <w:t xml:space="preserve"> son: </w:t>
      </w:r>
      <w:r w:rsidRPr="00C64B83">
        <w:rPr>
          <w:rFonts w:ascii="Arial" w:eastAsia="Calibri" w:hAnsi="Arial" w:cs="Arial"/>
          <w:b/>
          <w:bCs/>
          <w:snapToGrid w:val="0"/>
        </w:rPr>
        <w:t>SEIS MIL CIENTO OCHENTA Y OCHO MILLONES, OCHOCIENTOS VEINTIÚN MIL, NOVECIENTOS OCHENTA Y UN PESOS</w:t>
      </w:r>
      <w:r w:rsidRPr="00C64B83">
        <w:rPr>
          <w:rFonts w:ascii="Arial" w:eastAsia="Calibri" w:hAnsi="Arial" w:cs="Arial"/>
          <w:b/>
          <w:snapToGrid w:val="0"/>
        </w:rPr>
        <w:t>, CERO CENTAVOS, MONEDA NACIONAL.</w:t>
      </w:r>
    </w:p>
    <w:p w14:paraId="563E0EF6"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b/>
          <w:snapToGrid w:val="0"/>
        </w:rPr>
      </w:pPr>
    </w:p>
    <w:p w14:paraId="25D0D41A"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b/>
          <w:snapToGrid w:val="0"/>
        </w:rPr>
        <w:t>Artículo 5.</w:t>
      </w:r>
      <w:r w:rsidRPr="00C64B83">
        <w:rPr>
          <w:rFonts w:ascii="Arial" w:eastAsia="Calibri" w:hAnsi="Arial" w:cs="Arial"/>
          <w:snapToGrid w:val="0"/>
        </w:rPr>
        <w:t xml:space="preserve"> La estimación de las amortizaciones y el costo del servicio de la deuda que se cubrirán durante el ejercicio fiscal 2025 por el financiamiento de $ 350,000,000.00 (Trescientos cincuenta millones de pesos 00/100 M.N.) contratado con la institución financiera Banco Mercantil del Norte S.A. Institución de Banca Múltiple, Grupo Financiero Banorte, es de $23,815,572.00 (Veintitrés millones, ochocientos quince mil, quinientos setenta y dos pesos 00/100 M.N.) por concepto de amortizaciones de capital, y  $30,139,669.80 (Treinta millones, ciento treinta y nueve mil, seiscientos sesenta y nueve pesos 80/100 M.N.), por concepto de intereses (empleando para su determinación la sobretasa pactada para el nivel de calificación crediticia vigente del Municipio y la proyección del comportamiento de la tasa de referencia (TIIE a 28 días) utilizando la proyección proporcionada por Banco Mercantil del Norte S.A. Institución de Banca Múltiple, Grupo Financiero Banorte; estimación que se realiza, en apego con lo establecido en el artículo </w:t>
      </w:r>
      <w:bookmarkStart w:id="1" w:name="_Hlk183001233"/>
      <w:r w:rsidRPr="00C64B83">
        <w:rPr>
          <w:rFonts w:ascii="Arial" w:eastAsia="Calibri" w:hAnsi="Arial" w:cs="Arial"/>
          <w:snapToGrid w:val="0"/>
        </w:rPr>
        <w:t>52, fracción V, de la Ley del Presupuesto y Contabilidad Gubernamental del Estado de Yucatán</w:t>
      </w:r>
      <w:bookmarkEnd w:id="1"/>
      <w:r w:rsidRPr="00C64B83">
        <w:rPr>
          <w:rFonts w:ascii="Arial" w:eastAsia="Calibri" w:hAnsi="Arial" w:cs="Arial"/>
          <w:snapToGrid w:val="0"/>
        </w:rPr>
        <w:t>.</w:t>
      </w:r>
    </w:p>
    <w:p w14:paraId="5765B007"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731EDA6D"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El calendario de amortizaciones de los siguientes ejercicios fiscales se presenta en el Anexo III de esta ley.</w:t>
      </w:r>
    </w:p>
    <w:p w14:paraId="01AE784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1D498FE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Con base en los resultados del Sistema de Alertas de la Secretaría de Hacienda y Crédito Público, que presenta la clasificación del nivel de endeudamiento al 27 de septiembre de 2024, el Municipio de Mérida, Yucatán se mantiene clasificado con un nivel de endeudamiento sostenible.</w:t>
      </w:r>
    </w:p>
    <w:p w14:paraId="2A22E678"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17F047A3"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Con base en el análisis de la capacidad de pago del Municipio y del destino de los recursos, tanto a obtenerse como a otorgarse como fuente de pago, se autoriza al Ayuntamiento de Mérida, Yucatán para que durante el ejercicio 2025 celebre uno o más instrumentos derivados bajo la modalidad que se estime conveniente (intercambio de tasa o Swap, CAP o CAP Spread), hasta por el total del saldo insoluto del Contrato de Crédito celebrado con Banorte, S.A., e inscrito ante el Registro Público Único de Financiamiento y Obligaciones de Entidades Federativas y Municipios a cargo de la Secretaría de Hacienda y Crédito Público, con clave de inscripción P31-1122046</w:t>
      </w:r>
      <w:r w:rsidRPr="00C64B83">
        <w:rPr>
          <w:rFonts w:ascii="Arial" w:hAnsi="Arial" w:cs="Arial"/>
        </w:rPr>
        <w:t xml:space="preserve"> </w:t>
      </w:r>
      <w:r w:rsidRPr="00C64B83">
        <w:rPr>
          <w:rFonts w:ascii="Arial" w:eastAsia="Calibri" w:hAnsi="Arial" w:cs="Arial"/>
          <w:snapToGrid w:val="0"/>
        </w:rPr>
        <w:t>y con una vigencia de hasta cuarenta y ocho meses a partir de su contratación. De optar por celebrar operaciones de intercambio de tasa de interés, se autoriza la afectación como fuente de pago del mismo porcentaje de ingresos afecto como fuente de pago del crédito objeto de cobertura y, para tal efecto, se autoriza inscribir dichas operaciones en el mismo fideicomiso pactado como mecanismo de fuente de pago.</w:t>
      </w:r>
    </w:p>
    <w:p w14:paraId="77F8FAF9" w14:textId="77777777" w:rsidR="0011199F" w:rsidRPr="00C64B83" w:rsidRDefault="0011199F" w:rsidP="0073387B">
      <w:pPr>
        <w:widowControl w:val="0"/>
        <w:autoSpaceDE w:val="0"/>
        <w:autoSpaceDN w:val="0"/>
        <w:adjustRightInd w:val="0"/>
        <w:spacing w:after="0" w:line="480" w:lineRule="auto"/>
        <w:jc w:val="both"/>
        <w:rPr>
          <w:rFonts w:ascii="Arial" w:eastAsia="Calibri" w:hAnsi="Arial" w:cs="Arial"/>
          <w:snapToGrid w:val="0"/>
        </w:rPr>
      </w:pPr>
    </w:p>
    <w:p w14:paraId="25C11C98"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CAPÍTULO TERCERO</w:t>
      </w:r>
    </w:p>
    <w:p w14:paraId="7C72A9B0"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De las disposiciones generales</w:t>
      </w:r>
    </w:p>
    <w:p w14:paraId="55E4C729" w14:textId="77777777" w:rsidR="0011199F" w:rsidRPr="00C64B83" w:rsidRDefault="0011199F" w:rsidP="0073387B">
      <w:pPr>
        <w:widowControl w:val="0"/>
        <w:autoSpaceDE w:val="0"/>
        <w:autoSpaceDN w:val="0"/>
        <w:adjustRightInd w:val="0"/>
        <w:spacing w:after="0" w:line="360" w:lineRule="auto"/>
        <w:jc w:val="both"/>
        <w:rPr>
          <w:rFonts w:ascii="Arial" w:hAnsi="Arial" w:cs="Arial"/>
          <w:bCs/>
        </w:rPr>
      </w:pPr>
    </w:p>
    <w:p w14:paraId="44B96468"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Artículo 6.</w:t>
      </w:r>
      <w:r w:rsidRPr="00C64B83">
        <w:rPr>
          <w:rFonts w:ascii="Arial" w:eastAsia="Calibri" w:hAnsi="Arial" w:cs="Arial"/>
          <w:snapToGrid w:val="0"/>
        </w:rPr>
        <w:t xml:space="preserve"> </w:t>
      </w:r>
      <w:r w:rsidRPr="00C64B83">
        <w:rPr>
          <w:rFonts w:ascii="Arial" w:hAnsi="Arial" w:cs="Arial"/>
        </w:rPr>
        <w:t xml:space="preserve">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174DD4EE" w14:textId="77777777" w:rsidR="0011199F" w:rsidRPr="00C64B83" w:rsidRDefault="0011199F" w:rsidP="0073387B">
      <w:pPr>
        <w:spacing w:after="0" w:line="360" w:lineRule="auto"/>
        <w:jc w:val="both"/>
        <w:rPr>
          <w:rFonts w:ascii="Arial" w:eastAsia="Calibri" w:hAnsi="Arial" w:cs="Arial"/>
          <w:snapToGrid w:val="0"/>
        </w:rPr>
      </w:pPr>
    </w:p>
    <w:p w14:paraId="1FEE7E90" w14:textId="77777777" w:rsidR="0011199F" w:rsidRPr="00C64B83" w:rsidRDefault="0011199F" w:rsidP="0073387B">
      <w:pPr>
        <w:autoSpaceDE w:val="0"/>
        <w:autoSpaceDN w:val="0"/>
        <w:adjustRightInd w:val="0"/>
        <w:spacing w:after="0" w:line="360" w:lineRule="auto"/>
        <w:jc w:val="both"/>
        <w:rPr>
          <w:rFonts w:ascii="Arial" w:hAnsi="Arial" w:cs="Arial"/>
        </w:rPr>
      </w:pPr>
      <w:r w:rsidRPr="00C64B83">
        <w:rPr>
          <w:rFonts w:ascii="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1B7A1476" w14:textId="77777777" w:rsidR="0011199F" w:rsidRPr="00C64B83" w:rsidRDefault="0011199F" w:rsidP="0073387B">
      <w:pPr>
        <w:spacing w:after="0" w:line="360" w:lineRule="auto"/>
        <w:jc w:val="both"/>
        <w:rPr>
          <w:rFonts w:ascii="Arial" w:hAnsi="Arial" w:cs="Arial"/>
          <w:b/>
          <w:snapToGrid w:val="0"/>
        </w:rPr>
      </w:pPr>
    </w:p>
    <w:p w14:paraId="356FA48C"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 xml:space="preserve">7. </w:t>
      </w:r>
      <w:r w:rsidRPr="00C64B83">
        <w:rPr>
          <w:rFonts w:ascii="Arial" w:hAnsi="Arial" w:cs="Arial"/>
        </w:rPr>
        <w:t>Las contribuciones causadas en ejercicios fiscales anteriores, pendientes de liquidación o pago se determinarán de conformidad con las disposiciones legales que rigieron en la época en que se causaron.</w:t>
      </w:r>
    </w:p>
    <w:p w14:paraId="170852BF" w14:textId="77777777" w:rsidR="0011199F" w:rsidRPr="00C64B83" w:rsidRDefault="0011199F" w:rsidP="0073387B">
      <w:pPr>
        <w:spacing w:after="0" w:line="360" w:lineRule="auto"/>
        <w:jc w:val="both"/>
        <w:rPr>
          <w:rFonts w:ascii="Arial" w:hAnsi="Arial" w:cs="Arial"/>
          <w:snapToGrid w:val="0"/>
        </w:rPr>
      </w:pPr>
    </w:p>
    <w:p w14:paraId="355B3298" w14:textId="77777777" w:rsidR="0011199F" w:rsidRPr="00C64B83" w:rsidRDefault="0011199F" w:rsidP="0073387B">
      <w:pPr>
        <w:spacing w:after="0" w:line="360" w:lineRule="auto"/>
        <w:jc w:val="both"/>
        <w:rPr>
          <w:rFonts w:ascii="Arial" w:hAnsi="Arial" w:cs="Arial"/>
          <w:snapToGrid w:val="0"/>
        </w:rPr>
      </w:pPr>
      <w:bookmarkStart w:id="2" w:name="_Hlk182991392"/>
      <w:r w:rsidRPr="00C64B83">
        <w:rPr>
          <w:rFonts w:ascii="Arial" w:eastAsia="Calibri" w:hAnsi="Arial" w:cs="Arial"/>
          <w:b/>
          <w:snapToGrid w:val="0"/>
        </w:rPr>
        <w:t xml:space="preserve">Artículo </w:t>
      </w:r>
      <w:r w:rsidRPr="00C64B83">
        <w:rPr>
          <w:rFonts w:ascii="Arial" w:hAnsi="Arial" w:cs="Arial"/>
          <w:b/>
          <w:snapToGrid w:val="0"/>
        </w:rPr>
        <w:t xml:space="preserve">8. </w:t>
      </w:r>
      <w:r w:rsidRPr="00C64B83">
        <w:rPr>
          <w:rFonts w:ascii="Arial" w:hAnsi="Arial" w:cs="Arial"/>
          <w:snapToGrid w:val="0"/>
        </w:rPr>
        <w:t>El pago de las contribuciones, productos, aprovechamientos y demás ingresos señalados en esta Ley, se acreditarán con los siguientes comprobantes; recibo oficial, recibo oficial electrónico, o formatos de declaración que contendrán la serie numérica denominada referencia de pago expedidos por la Dirección de Finanzas y Tesorería Municipal. La serie numérica denominada referencia de pago servirá como un elemento de validación. Si el pago se realiza en las cajas de las oficinas recaudadoras los recibos oficiales adicionalmente a la referencia de pago contendrán tarja, sello y firma del cajero.</w:t>
      </w:r>
    </w:p>
    <w:p w14:paraId="06B0B675" w14:textId="77777777" w:rsidR="0011199F" w:rsidRPr="00C64B83" w:rsidRDefault="0011199F" w:rsidP="0073387B">
      <w:pPr>
        <w:spacing w:after="0" w:line="360" w:lineRule="auto"/>
        <w:jc w:val="both"/>
        <w:rPr>
          <w:rFonts w:ascii="Arial" w:hAnsi="Arial" w:cs="Arial"/>
          <w:snapToGrid w:val="0"/>
        </w:rPr>
      </w:pPr>
    </w:p>
    <w:p w14:paraId="445453B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 xml:space="preserve">En caso de que el pago sea realizado mediante transferencia electrónica de fondos y efectuado a través del uso del portal de internet www.merida.gob.mx, el recibo oficial electrónico que se emita mediante el uso de las aplicaciones establecidas en el mencionado </w:t>
      </w:r>
      <w:proofErr w:type="gramStart"/>
      <w:r w:rsidRPr="00C64B83">
        <w:rPr>
          <w:rFonts w:ascii="Arial" w:hAnsi="Arial" w:cs="Arial"/>
          <w:snapToGrid w:val="0"/>
        </w:rPr>
        <w:t>portal,</w:t>
      </w:r>
      <w:proofErr w:type="gramEnd"/>
      <w:r w:rsidRPr="00C64B83">
        <w:rPr>
          <w:rFonts w:ascii="Arial" w:hAnsi="Arial" w:cs="Arial"/>
          <w:snapToGrid w:val="0"/>
        </w:rPr>
        <w:t xml:space="preserve"> podrá ser impreso en el momento del pago y servirá como comprobante del mismo.</w:t>
      </w:r>
    </w:p>
    <w:p w14:paraId="721B4EB7" w14:textId="77777777" w:rsidR="0011199F" w:rsidRPr="00C64B83" w:rsidRDefault="0011199F" w:rsidP="0073387B">
      <w:pPr>
        <w:spacing w:after="0" w:line="360" w:lineRule="auto"/>
        <w:jc w:val="both"/>
        <w:rPr>
          <w:rFonts w:ascii="Arial" w:hAnsi="Arial" w:cs="Arial"/>
          <w:snapToGrid w:val="0"/>
        </w:rPr>
      </w:pPr>
    </w:p>
    <w:p w14:paraId="1CA7C323"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Si el pago se realiza en las instituciones de crédito o establecimientos de personas morales autorizadas, se podrá acreditar el pago mediante el formato que autorice la propia Dirección de Finanzas y Tesorería Municipal para tal efecto, siempre que ostente el número de autorización, sello o tarjado de la máquina registradora de aquellas instituciones o personas morales.</w:t>
      </w:r>
    </w:p>
    <w:p w14:paraId="6AF5C48B" w14:textId="77777777" w:rsidR="0011199F" w:rsidRPr="00C64B83" w:rsidRDefault="0011199F" w:rsidP="0073387B">
      <w:pPr>
        <w:spacing w:after="0" w:line="360" w:lineRule="auto"/>
        <w:jc w:val="both"/>
        <w:rPr>
          <w:rFonts w:ascii="Arial" w:hAnsi="Arial" w:cs="Arial"/>
          <w:snapToGrid w:val="0"/>
        </w:rPr>
      </w:pPr>
    </w:p>
    <w:p w14:paraId="7181F67D"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Para el caso de pago por los servicios públicos que presta la Administración Pública Municipal a través de sus organismos descentralizados o paramunicipales, servirá como medio para acreditar el pago, los recibos que dichos organismos emitan.</w:t>
      </w:r>
    </w:p>
    <w:p w14:paraId="21DA0C21" w14:textId="77777777" w:rsidR="0011199F" w:rsidRPr="00C64B83" w:rsidRDefault="0011199F" w:rsidP="0073387B">
      <w:pPr>
        <w:spacing w:after="0" w:line="360" w:lineRule="auto"/>
        <w:jc w:val="both"/>
        <w:rPr>
          <w:rFonts w:ascii="Arial" w:hAnsi="Arial" w:cs="Arial"/>
          <w:snapToGrid w:val="0"/>
        </w:rPr>
      </w:pPr>
    </w:p>
    <w:p w14:paraId="4510051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La dependencia, unidad administrativa o el Servidor Público que preste un servicio o trámite por el que se deba pagar algún derecho, procederá a realizar dicho trámite o servicio, previa presentación del comprobante que acredite su pago o previa verificación del pago en los medios que para tal efecto disponga la Dirección de Finanzas y Tesorería Municipal, mediante disposiciones administrativas. La dependencia, unidad administrativa o el Servidor Público, no podrán prestar el servicio hasta confirmar el pago correspondiente.</w:t>
      </w:r>
    </w:p>
    <w:p w14:paraId="129EFDB3" w14:textId="77777777" w:rsidR="0011199F" w:rsidRPr="00C64B83" w:rsidRDefault="0011199F" w:rsidP="0073387B">
      <w:pPr>
        <w:spacing w:after="0" w:line="360" w:lineRule="auto"/>
        <w:jc w:val="both"/>
        <w:rPr>
          <w:rFonts w:ascii="Arial" w:hAnsi="Arial" w:cs="Arial"/>
          <w:snapToGrid w:val="0"/>
        </w:rPr>
      </w:pPr>
    </w:p>
    <w:p w14:paraId="7877690E"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La dependencia, unidad administrativa o el Servidor Público, que preste un servicio por el que se causen derechos, será solidariamente responsable de su pago y se hará acreedor, en su caso, a las sanciones que procedan, independientemente de que realice el pago correspondiente, si presta el servicio sin cerciorarse de que haya sido pagado el derecho generado.</w:t>
      </w:r>
    </w:p>
    <w:p w14:paraId="180644A9" w14:textId="77777777" w:rsidR="0011199F" w:rsidRPr="00C64B83" w:rsidRDefault="0011199F" w:rsidP="0073387B">
      <w:pPr>
        <w:spacing w:after="0" w:line="360" w:lineRule="auto"/>
        <w:jc w:val="both"/>
        <w:rPr>
          <w:rFonts w:ascii="Arial" w:hAnsi="Arial" w:cs="Arial"/>
          <w:snapToGrid w:val="0"/>
        </w:rPr>
      </w:pPr>
    </w:p>
    <w:p w14:paraId="4384C39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 xml:space="preserve">Los fedatarios públicos para cerciorarse de la autenticidad de los comprobantes que resulten para dar cumplimiento a la normatividad </w:t>
      </w:r>
      <w:proofErr w:type="gramStart"/>
      <w:r w:rsidRPr="00C64B83">
        <w:rPr>
          <w:rFonts w:ascii="Arial" w:hAnsi="Arial" w:cs="Arial"/>
          <w:snapToGrid w:val="0"/>
        </w:rPr>
        <w:t>municipal,</w:t>
      </w:r>
      <w:proofErr w:type="gramEnd"/>
      <w:r w:rsidRPr="00C64B83">
        <w:rPr>
          <w:rFonts w:ascii="Arial" w:hAnsi="Arial" w:cs="Arial"/>
          <w:snapToGrid w:val="0"/>
        </w:rPr>
        <w:t xml:space="preserve"> podrán utilizar la herramienta que para tal efecto disponga la Dirección de Finanzas y Tesorería Municipal a través del portal de internet: </w:t>
      </w:r>
      <w:hyperlink r:id="rId14" w:history="1">
        <w:r w:rsidRPr="00C64B83">
          <w:rPr>
            <w:rStyle w:val="Hipervnculo"/>
            <w:rFonts w:ascii="Arial" w:hAnsi="Arial" w:cs="Arial"/>
            <w:snapToGrid w:val="0"/>
            <w:color w:val="auto"/>
            <w:u w:val="none"/>
          </w:rPr>
          <w:t>www.merida.gob.mx</w:t>
        </w:r>
      </w:hyperlink>
      <w:r w:rsidRPr="00C64B83">
        <w:rPr>
          <w:rFonts w:ascii="Arial" w:hAnsi="Arial" w:cs="Arial"/>
          <w:snapToGrid w:val="0"/>
        </w:rPr>
        <w:t>. Lo anterior de igual manera quedará a disposición de los contribuyentes.</w:t>
      </w:r>
    </w:p>
    <w:bookmarkEnd w:id="2"/>
    <w:p w14:paraId="574F3FAE" w14:textId="77777777" w:rsidR="0011199F" w:rsidRPr="00C64B83" w:rsidRDefault="0011199F" w:rsidP="0073387B">
      <w:pPr>
        <w:spacing w:after="0" w:line="360" w:lineRule="auto"/>
        <w:jc w:val="both"/>
        <w:rPr>
          <w:rFonts w:ascii="Arial" w:hAnsi="Arial" w:cs="Arial"/>
          <w:snapToGrid w:val="0"/>
        </w:rPr>
      </w:pPr>
    </w:p>
    <w:p w14:paraId="164AE449"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 xml:space="preserve">9. </w:t>
      </w:r>
      <w:r w:rsidRPr="00C64B83">
        <w:rPr>
          <w:rFonts w:ascii="Arial" w:hAnsi="Arial" w:cs="Arial"/>
        </w:rPr>
        <w:t xml:space="preserve">Las contribuciones se causarán, liquidarán y recaudarán en los términos de </w:t>
      </w:r>
      <w:smartTag w:uri="urn:schemas-microsoft-com:office:smarttags" w:element="PersonName">
        <w:smartTagPr>
          <w:attr w:name="ProductID" w:val="la Ley"/>
        </w:smartTagPr>
        <w:r w:rsidRPr="00C64B83">
          <w:rPr>
            <w:rFonts w:ascii="Arial" w:hAnsi="Arial" w:cs="Arial"/>
          </w:rPr>
          <w:t>la Ley</w:t>
        </w:r>
      </w:smartTag>
      <w:r w:rsidRPr="00C64B83">
        <w:rPr>
          <w:rFonts w:ascii="Arial" w:hAnsi="Arial" w:cs="Arial"/>
        </w:rPr>
        <w:t xml:space="preserve"> de Hacienda del Municipio de Mérida, y a falta de disposición expresa acerca del procedimiento, se aplicarán supletoriamente el Código Fiscal del Estado de Yucatán, y el Código Fiscal de la Federación.</w:t>
      </w:r>
    </w:p>
    <w:p w14:paraId="5224717A" w14:textId="77777777" w:rsidR="0011199F" w:rsidRPr="00C64B83" w:rsidRDefault="0011199F" w:rsidP="0073387B">
      <w:pPr>
        <w:spacing w:after="0" w:line="360" w:lineRule="auto"/>
        <w:jc w:val="both"/>
        <w:rPr>
          <w:rFonts w:ascii="Arial" w:hAnsi="Arial" w:cs="Arial"/>
          <w:snapToGrid w:val="0"/>
        </w:rPr>
      </w:pPr>
    </w:p>
    <w:p w14:paraId="5B222E8F" w14:textId="77777777" w:rsidR="0011199F" w:rsidRPr="00C64B83" w:rsidRDefault="0011199F" w:rsidP="0073387B">
      <w:pPr>
        <w:autoSpaceDE w:val="0"/>
        <w:autoSpaceDN w:val="0"/>
        <w:adjustRightInd w:val="0"/>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10.</w:t>
      </w:r>
      <w:r w:rsidRPr="00C64B83">
        <w:rPr>
          <w:rFonts w:ascii="Arial" w:hAnsi="Arial" w:cs="Arial"/>
          <w:snapToGrid w:val="0"/>
        </w:rPr>
        <w:t xml:space="preserve"> </w:t>
      </w:r>
      <w:r w:rsidRPr="00C64B83">
        <w:rPr>
          <w:rFonts w:ascii="Arial" w:hAnsi="Arial" w:cs="Arial"/>
        </w:rPr>
        <w:t xml:space="preserve">El Ayuntamiento de Mérida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49610A9A" w14:textId="77777777" w:rsidR="0011199F" w:rsidRPr="00C64B83" w:rsidRDefault="0011199F" w:rsidP="0073387B">
      <w:pPr>
        <w:spacing w:after="0" w:line="360" w:lineRule="auto"/>
        <w:jc w:val="center"/>
        <w:rPr>
          <w:rFonts w:ascii="Arial" w:hAnsi="Arial" w:cs="Arial"/>
          <w:b/>
          <w:lang w:val="pt-BR"/>
        </w:rPr>
      </w:pPr>
    </w:p>
    <w:p w14:paraId="2AE089F1" w14:textId="77777777" w:rsidR="0011199F" w:rsidRPr="00C64B83" w:rsidRDefault="0011199F" w:rsidP="0073387B">
      <w:pPr>
        <w:spacing w:after="0" w:line="360" w:lineRule="auto"/>
        <w:jc w:val="center"/>
        <w:rPr>
          <w:rFonts w:ascii="Arial" w:hAnsi="Arial" w:cs="Arial"/>
          <w:b/>
          <w:lang w:val="pt-BR"/>
        </w:rPr>
      </w:pPr>
      <w:r w:rsidRPr="00C64B83">
        <w:rPr>
          <w:rFonts w:ascii="Arial" w:hAnsi="Arial" w:cs="Arial"/>
          <w:b/>
          <w:lang w:val="pt-BR"/>
        </w:rPr>
        <w:t>T R A N S I T O R I O</w:t>
      </w:r>
    </w:p>
    <w:p w14:paraId="0318ADC8" w14:textId="77777777" w:rsidR="0011199F" w:rsidRPr="00C64B83" w:rsidRDefault="0011199F" w:rsidP="0073387B">
      <w:pPr>
        <w:spacing w:after="0" w:line="360" w:lineRule="auto"/>
        <w:jc w:val="both"/>
        <w:rPr>
          <w:rFonts w:ascii="Arial" w:hAnsi="Arial" w:cs="Arial"/>
          <w:bCs/>
          <w:iCs/>
          <w:lang w:val="pt-BR"/>
        </w:rPr>
      </w:pPr>
    </w:p>
    <w:p w14:paraId="25BE70EF" w14:textId="115DA054" w:rsidR="0072365B" w:rsidRDefault="0011199F" w:rsidP="0073387B">
      <w:pPr>
        <w:spacing w:after="0" w:line="360" w:lineRule="auto"/>
        <w:jc w:val="both"/>
        <w:rPr>
          <w:rFonts w:ascii="Arial" w:eastAsia="Arial MT" w:hAnsi="Arial" w:cs="Arial"/>
          <w:b/>
        </w:rPr>
      </w:pPr>
      <w:r w:rsidRPr="00C64B83">
        <w:rPr>
          <w:rFonts w:ascii="Arial" w:hAnsi="Arial" w:cs="Arial"/>
          <w:b/>
          <w:bCs/>
          <w:iCs/>
          <w:snapToGrid w:val="0"/>
        </w:rPr>
        <w:t xml:space="preserve">Artículo único. </w:t>
      </w:r>
      <w:r w:rsidRPr="00C64B83">
        <w:rPr>
          <w:rFonts w:ascii="Arial" w:hAnsi="Arial" w:cs="Arial"/>
          <w:iCs/>
        </w:rPr>
        <w:t>Esta Ley entrará en vigor el uno de enero del año dos mil veinticinco, y tendrá vigencia hasta el treinta y uno de diciembre del mismo año, previa su publicación en el Diario Oficial del Gobierno del Estado de Yucatán.</w:t>
      </w:r>
    </w:p>
    <w:p w14:paraId="19EC1238" w14:textId="6F06121B" w:rsidR="0072365B" w:rsidRPr="007E09A5" w:rsidRDefault="0073387B" w:rsidP="00127624">
      <w:pPr>
        <w:adjustRightInd w:val="0"/>
        <w:spacing w:after="0" w:line="360" w:lineRule="auto"/>
        <w:jc w:val="both"/>
        <w:rPr>
          <w:rFonts w:ascii="Poppins" w:hAnsi="Poppins" w:cs="Poppins"/>
          <w:bCs/>
          <w:i/>
          <w:sz w:val="20"/>
          <w:lang w:val="es-ES"/>
        </w:rPr>
      </w:pPr>
      <w:r>
        <w:rPr>
          <w:rFonts w:ascii="Arial" w:eastAsia="Arial MT" w:hAnsi="Arial" w:cs="Arial"/>
          <w:b/>
        </w:rPr>
        <w:br w:type="column"/>
      </w:r>
      <w:r w:rsidR="0072365B" w:rsidRPr="007E09A5">
        <w:rPr>
          <w:rFonts w:ascii="Poppins" w:hAnsi="Poppins" w:cs="Poppins"/>
          <w:bCs/>
          <w:i/>
          <w:sz w:val="20"/>
          <w:lang w:val="es-ES"/>
        </w:rPr>
        <w:lastRenderedPageBreak/>
        <w:t>Anexo I</w:t>
      </w:r>
    </w:p>
    <w:p w14:paraId="1083A33F" w14:textId="77777777" w:rsidR="0072365B" w:rsidRPr="007E09A5" w:rsidRDefault="0072365B" w:rsidP="0072365B">
      <w:pPr>
        <w:pStyle w:val="Textoindependiente"/>
        <w:rPr>
          <w:rFonts w:ascii="Poppins" w:hAnsi="Poppins" w:cs="Poppins"/>
          <w:b/>
          <w:i/>
          <w:sz w:val="20"/>
          <w:lang w:val="es-ES"/>
        </w:rPr>
      </w:pPr>
    </w:p>
    <w:p w14:paraId="251A6481" w14:textId="0FD1F8E8" w:rsidR="0072365B" w:rsidRPr="007E09A5" w:rsidRDefault="0072365B" w:rsidP="0072365B">
      <w:pPr>
        <w:pStyle w:val="Textoindependiente"/>
        <w:rPr>
          <w:rFonts w:ascii="Poppins" w:hAnsi="Poppins" w:cs="Poppins"/>
          <w:b/>
          <w:i/>
          <w:sz w:val="20"/>
          <w:lang w:val="es-ES"/>
        </w:rPr>
      </w:pPr>
      <w:r w:rsidRPr="007E09A5">
        <w:rPr>
          <w:rFonts w:ascii="Poppins" w:hAnsi="Poppins" w:cs="Poppins"/>
          <w:noProof/>
        </w:rPr>
        <w:drawing>
          <wp:inline distT="0" distB="0" distL="0" distR="0" wp14:anchorId="198BA6CA" wp14:editId="50094CBE">
            <wp:extent cx="5791835" cy="5819140"/>
            <wp:effectExtent l="0" t="0" r="0" b="0"/>
            <wp:docPr id="21081216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835" cy="5819140"/>
                    </a:xfrm>
                    <a:prstGeom prst="rect">
                      <a:avLst/>
                    </a:prstGeom>
                    <a:noFill/>
                    <a:ln>
                      <a:noFill/>
                    </a:ln>
                  </pic:spPr>
                </pic:pic>
              </a:graphicData>
            </a:graphic>
          </wp:inline>
        </w:drawing>
      </w:r>
    </w:p>
    <w:p w14:paraId="008E80AF" w14:textId="77777777" w:rsidR="0072365B" w:rsidRPr="007E09A5" w:rsidRDefault="0072365B" w:rsidP="0072365B">
      <w:pPr>
        <w:pStyle w:val="Textoindependiente"/>
        <w:rPr>
          <w:rFonts w:ascii="Poppins" w:hAnsi="Poppins" w:cs="Poppins"/>
          <w:b/>
          <w:i/>
          <w:sz w:val="20"/>
          <w:lang w:val="es-ES"/>
        </w:rPr>
      </w:pPr>
    </w:p>
    <w:p w14:paraId="75EB688D" w14:textId="77777777" w:rsidR="0072365B" w:rsidRPr="007E09A5" w:rsidRDefault="0072365B" w:rsidP="0072365B">
      <w:pPr>
        <w:pStyle w:val="Textoindependiente"/>
        <w:rPr>
          <w:rFonts w:ascii="Poppins" w:hAnsi="Poppins" w:cs="Poppins"/>
          <w:b/>
          <w:i/>
          <w:sz w:val="20"/>
          <w:lang w:val="es-ES"/>
        </w:rPr>
      </w:pPr>
    </w:p>
    <w:p w14:paraId="7AE040D6" w14:textId="77777777" w:rsidR="0072365B" w:rsidRDefault="0072365B" w:rsidP="0072365B">
      <w:pPr>
        <w:pStyle w:val="Textoindependiente"/>
        <w:rPr>
          <w:rFonts w:ascii="Poppins" w:hAnsi="Poppins" w:cs="Poppins"/>
          <w:bCs/>
          <w:i/>
          <w:sz w:val="20"/>
          <w:lang w:val="es-ES"/>
        </w:rPr>
      </w:pPr>
    </w:p>
    <w:p w14:paraId="4A8764C6" w14:textId="1331DC61" w:rsidR="0072365B" w:rsidRPr="007E09A5" w:rsidRDefault="0072365B" w:rsidP="0072365B">
      <w:pPr>
        <w:pStyle w:val="Textoindependiente"/>
        <w:rPr>
          <w:rFonts w:ascii="Poppins" w:hAnsi="Poppins" w:cs="Poppins"/>
          <w:bCs/>
          <w:i/>
          <w:sz w:val="20"/>
          <w:lang w:val="es-ES"/>
        </w:rPr>
      </w:pPr>
      <w:r w:rsidRPr="007E09A5">
        <w:rPr>
          <w:rFonts w:ascii="Poppins" w:hAnsi="Poppins" w:cs="Poppins"/>
          <w:bCs/>
          <w:i/>
          <w:sz w:val="20"/>
          <w:lang w:val="es-ES"/>
        </w:rPr>
        <w:lastRenderedPageBreak/>
        <w:t>Anexo II</w:t>
      </w:r>
    </w:p>
    <w:p w14:paraId="4731CA56" w14:textId="778D4BC0" w:rsidR="0072365B" w:rsidRPr="007E09A5" w:rsidRDefault="0072365B" w:rsidP="0072365B">
      <w:pPr>
        <w:pStyle w:val="Textoindependiente"/>
        <w:rPr>
          <w:rFonts w:ascii="Poppins" w:hAnsi="Poppins" w:cs="Poppins"/>
          <w:b/>
          <w:i/>
          <w:sz w:val="20"/>
          <w:lang w:val="es-ES"/>
        </w:rPr>
      </w:pPr>
      <w:r w:rsidRPr="007E09A5">
        <w:rPr>
          <w:rFonts w:ascii="Poppins" w:hAnsi="Poppins" w:cs="Poppins"/>
          <w:noProof/>
        </w:rPr>
        <w:drawing>
          <wp:inline distT="0" distB="0" distL="0" distR="0" wp14:anchorId="1D8A607D" wp14:editId="19E8157E">
            <wp:extent cx="5786755" cy="5561330"/>
            <wp:effectExtent l="0" t="0" r="4445" b="1270"/>
            <wp:docPr id="4261583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6755" cy="5561330"/>
                    </a:xfrm>
                    <a:prstGeom prst="rect">
                      <a:avLst/>
                    </a:prstGeom>
                    <a:noFill/>
                    <a:ln>
                      <a:noFill/>
                    </a:ln>
                  </pic:spPr>
                </pic:pic>
              </a:graphicData>
            </a:graphic>
          </wp:inline>
        </w:drawing>
      </w:r>
    </w:p>
    <w:p w14:paraId="5C2C1544" w14:textId="77777777" w:rsidR="0072365B" w:rsidRPr="007E09A5" w:rsidRDefault="0072365B" w:rsidP="0072365B">
      <w:pPr>
        <w:pStyle w:val="Textoindependiente"/>
        <w:rPr>
          <w:rFonts w:ascii="Poppins" w:hAnsi="Poppins" w:cs="Poppins"/>
          <w:b/>
          <w:i/>
          <w:sz w:val="20"/>
          <w:lang w:val="es-ES"/>
        </w:rPr>
      </w:pPr>
    </w:p>
    <w:p w14:paraId="2238AB3F" w14:textId="77777777" w:rsidR="0072365B" w:rsidRDefault="0072365B" w:rsidP="0072365B">
      <w:pPr>
        <w:pStyle w:val="Textoindependiente"/>
        <w:rPr>
          <w:rFonts w:ascii="Poppins" w:hAnsi="Poppins" w:cs="Poppins"/>
          <w:b/>
          <w:i/>
          <w:sz w:val="20"/>
          <w:lang w:val="es-ES"/>
        </w:rPr>
      </w:pPr>
    </w:p>
    <w:p w14:paraId="730E45AF" w14:textId="584ACAE1" w:rsidR="0072365B" w:rsidRDefault="0073387B" w:rsidP="00890BE4">
      <w:pPr>
        <w:pStyle w:val="Textoindependiente"/>
        <w:spacing w:after="0" w:line="240" w:lineRule="auto"/>
        <w:rPr>
          <w:rFonts w:ascii="Poppins" w:hAnsi="Poppins" w:cs="Poppins"/>
          <w:b/>
          <w:i/>
          <w:sz w:val="20"/>
          <w:lang w:val="es-ES"/>
        </w:rPr>
      </w:pPr>
      <w:r>
        <w:rPr>
          <w:rFonts w:ascii="Poppins" w:hAnsi="Poppins" w:cs="Poppins"/>
          <w:b/>
          <w:i/>
          <w:sz w:val="20"/>
          <w:lang w:val="es-ES"/>
        </w:rPr>
        <w:br w:type="column"/>
      </w:r>
    </w:p>
    <w:p w14:paraId="59F436F4" w14:textId="77777777" w:rsidR="0072365B" w:rsidRPr="007E09A5" w:rsidRDefault="0072365B" w:rsidP="0072365B">
      <w:pPr>
        <w:pStyle w:val="Textoindependiente"/>
        <w:rPr>
          <w:rFonts w:ascii="Poppins" w:hAnsi="Poppins" w:cs="Poppins"/>
          <w:bCs/>
          <w:i/>
          <w:sz w:val="20"/>
          <w:lang w:val="es-ES"/>
        </w:rPr>
      </w:pPr>
      <w:r w:rsidRPr="007E09A5">
        <w:rPr>
          <w:rFonts w:ascii="Poppins" w:hAnsi="Poppins" w:cs="Poppins"/>
          <w:bCs/>
          <w:i/>
          <w:sz w:val="20"/>
          <w:lang w:val="es-ES"/>
        </w:rPr>
        <w:t>Anexo III</w:t>
      </w:r>
    </w:p>
    <w:p w14:paraId="08ED0869" w14:textId="77777777" w:rsidR="0072365B" w:rsidRPr="007E09A5" w:rsidRDefault="0072365B" w:rsidP="00890BE4">
      <w:pPr>
        <w:pStyle w:val="Textoindependiente"/>
        <w:spacing w:after="0" w:line="240" w:lineRule="auto"/>
        <w:rPr>
          <w:rFonts w:ascii="Poppins" w:hAnsi="Poppins" w:cs="Poppins"/>
          <w:bCs/>
          <w:i/>
          <w:sz w:val="20"/>
          <w:lang w:val="es-ES"/>
        </w:rPr>
      </w:pPr>
    </w:p>
    <w:p w14:paraId="08685F7E" w14:textId="77777777" w:rsidR="0072365B" w:rsidRPr="007E09A5" w:rsidRDefault="0072365B" w:rsidP="0072365B">
      <w:pPr>
        <w:pStyle w:val="Textoindependiente"/>
        <w:rPr>
          <w:rFonts w:ascii="Poppins" w:hAnsi="Poppins" w:cs="Poppins"/>
          <w:b/>
          <w:i/>
          <w:sz w:val="16"/>
          <w:szCs w:val="16"/>
          <w:lang w:val="es-ES"/>
        </w:rPr>
      </w:pPr>
      <w:bookmarkStart w:id="3" w:name="_Hlk151478436"/>
      <w:r w:rsidRPr="007E09A5">
        <w:rPr>
          <w:rFonts w:ascii="Poppins" w:hAnsi="Poppins" w:cs="Poppins"/>
          <w:b/>
          <w:i/>
          <w:sz w:val="16"/>
          <w:szCs w:val="16"/>
          <w:lang w:val="es-ES"/>
        </w:rPr>
        <w:t>Servicio de la deuda Anual</w:t>
      </w:r>
    </w:p>
    <w:p w14:paraId="272412DB" w14:textId="77777777" w:rsidR="0072365B" w:rsidRPr="007E09A5" w:rsidRDefault="0072365B" w:rsidP="00890BE4">
      <w:pPr>
        <w:pStyle w:val="Textoindependiente"/>
        <w:spacing w:after="0" w:line="240" w:lineRule="auto"/>
        <w:rPr>
          <w:rFonts w:ascii="Poppins" w:hAnsi="Poppins" w:cs="Poppins"/>
          <w:b/>
          <w:i/>
          <w:sz w:val="16"/>
          <w:szCs w:val="16"/>
          <w:lang w:val="es-ES"/>
        </w:rPr>
      </w:pPr>
    </w:p>
    <w:p w14:paraId="2DF42A3C" w14:textId="369FC3BE" w:rsidR="0072365B" w:rsidRPr="007E09A5" w:rsidRDefault="0072365B" w:rsidP="0072365B">
      <w:pPr>
        <w:pStyle w:val="Textoindependiente"/>
        <w:rPr>
          <w:rFonts w:ascii="Poppins" w:hAnsi="Poppins" w:cs="Poppins"/>
          <w:b/>
          <w:i/>
          <w:sz w:val="16"/>
          <w:szCs w:val="16"/>
          <w:lang w:val="es-ES"/>
        </w:rPr>
      </w:pPr>
      <w:r w:rsidRPr="007E09A5">
        <w:rPr>
          <w:rFonts w:ascii="Poppins" w:hAnsi="Poppins" w:cs="Poppins"/>
          <w:noProof/>
        </w:rPr>
        <w:drawing>
          <wp:inline distT="0" distB="0" distL="0" distR="0" wp14:anchorId="60A44B5D" wp14:editId="49AE1671">
            <wp:extent cx="5575300" cy="2299335"/>
            <wp:effectExtent l="0" t="0" r="6350" b="5715"/>
            <wp:docPr id="6288677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5300" cy="2299335"/>
                    </a:xfrm>
                    <a:prstGeom prst="rect">
                      <a:avLst/>
                    </a:prstGeom>
                    <a:noFill/>
                    <a:ln>
                      <a:noFill/>
                    </a:ln>
                  </pic:spPr>
                </pic:pic>
              </a:graphicData>
            </a:graphic>
          </wp:inline>
        </w:drawing>
      </w:r>
    </w:p>
    <w:p w14:paraId="0B050F00" w14:textId="77777777" w:rsidR="0072365B" w:rsidRPr="007E09A5" w:rsidRDefault="0072365B" w:rsidP="0072365B">
      <w:pPr>
        <w:pStyle w:val="Textoindependiente"/>
        <w:rPr>
          <w:rFonts w:ascii="Poppins" w:hAnsi="Poppins" w:cs="Poppins"/>
          <w:b/>
          <w:i/>
          <w:sz w:val="16"/>
          <w:szCs w:val="16"/>
          <w:lang w:val="es-ES"/>
        </w:rPr>
      </w:pPr>
      <w:r w:rsidRPr="007E09A5">
        <w:rPr>
          <w:rFonts w:ascii="Poppins" w:hAnsi="Poppins" w:cs="Poppins"/>
          <w:b/>
          <w:i/>
          <w:sz w:val="16"/>
          <w:szCs w:val="16"/>
          <w:lang w:val="es-ES"/>
        </w:rPr>
        <w:t>Proyección proporcionada por Banco Mercantil del Norte S.A. Institución de Banca Múltiple, Grupo Financiero Banorte.</w:t>
      </w:r>
    </w:p>
    <w:bookmarkEnd w:id="3"/>
    <w:p w14:paraId="5C1D2640" w14:textId="77777777" w:rsidR="0072365B" w:rsidRPr="00890BE4" w:rsidRDefault="0072365B" w:rsidP="00890BE4">
      <w:pPr>
        <w:spacing w:after="0" w:line="240" w:lineRule="auto"/>
        <w:jc w:val="both"/>
        <w:rPr>
          <w:b/>
          <w:bCs/>
        </w:rPr>
      </w:pPr>
    </w:p>
    <w:p w14:paraId="6913F615" w14:textId="77777777" w:rsidR="00890BE4" w:rsidRPr="00890BE4" w:rsidRDefault="00127624" w:rsidP="00890BE4">
      <w:pPr>
        <w:spacing w:after="0" w:line="240" w:lineRule="auto"/>
        <w:jc w:val="both"/>
        <w:rPr>
          <w:b/>
          <w:bCs/>
        </w:rPr>
      </w:pPr>
      <w:r w:rsidRPr="00890BE4">
        <w:rPr>
          <w:b/>
          <w:bCs/>
        </w:rPr>
        <w:t xml:space="preserve">DADO EN EL SALÓN DE SESIONES ‘‘CONSTITUYENTES DE 1918’’ DEL RECINTO DEL PODER LEGISLATIVO, EN LA CIUDAD DE MÉRIDA, YUCATÁN, A LOS TRECE DÍAS DEL MES DE DICIEMBRE DEL AÑO DOS MIL </w:t>
      </w:r>
      <w:proofErr w:type="gramStart"/>
      <w:r w:rsidRPr="00890BE4">
        <w:rPr>
          <w:b/>
          <w:bCs/>
        </w:rPr>
        <w:t>VEINTICUATRO.-</w:t>
      </w:r>
      <w:proofErr w:type="gramEnd"/>
      <w:r w:rsidRPr="00890BE4">
        <w:rPr>
          <w:b/>
          <w:bCs/>
        </w:rPr>
        <w:t xml:space="preserve"> PRESIDENTA DIPUTADA NEYDA ARACELLY PAT DZUL.- SECRETARIO DIPUTADO ÁLVARO CETINA PUERTO.- SECRETARIO DIPUTADO FRANCISCO ROSAS VILLAVICENCIO.- RÚBRICAS" </w:t>
      </w:r>
    </w:p>
    <w:p w14:paraId="4D65AE15" w14:textId="77777777" w:rsidR="00890BE4" w:rsidRDefault="00890BE4" w:rsidP="00890BE4">
      <w:pPr>
        <w:spacing w:after="0" w:line="240" w:lineRule="auto"/>
        <w:jc w:val="both"/>
      </w:pPr>
    </w:p>
    <w:p w14:paraId="19D2D695" w14:textId="435C779E" w:rsidR="00890BE4" w:rsidRDefault="00127624" w:rsidP="00890BE4">
      <w:pPr>
        <w:spacing w:after="0" w:line="240" w:lineRule="auto"/>
        <w:jc w:val="both"/>
      </w:pPr>
      <w:r>
        <w:t xml:space="preserve">Y, por tanto, mando se imprima, publique y circule para su conocimiento y debido cumplimiento. </w:t>
      </w:r>
    </w:p>
    <w:p w14:paraId="4649909F" w14:textId="77777777" w:rsidR="00890BE4" w:rsidRDefault="00890BE4" w:rsidP="00890BE4">
      <w:pPr>
        <w:spacing w:after="0" w:line="240" w:lineRule="auto"/>
      </w:pPr>
    </w:p>
    <w:p w14:paraId="5908A52D" w14:textId="77777777" w:rsidR="00890BE4" w:rsidRDefault="00127624" w:rsidP="00890BE4">
      <w:pPr>
        <w:spacing w:after="0" w:line="240" w:lineRule="auto"/>
        <w:jc w:val="both"/>
      </w:pPr>
      <w:r>
        <w:t xml:space="preserve">Se expide este decreto en la sede del Poder Ejecutivo, en Mérida, Yucatán, a 23 de diciembre de 2024. </w:t>
      </w:r>
    </w:p>
    <w:p w14:paraId="3F345E69" w14:textId="77777777" w:rsidR="00890BE4" w:rsidRPr="00890BE4" w:rsidRDefault="00890BE4" w:rsidP="00890BE4">
      <w:pPr>
        <w:spacing w:after="0" w:line="240" w:lineRule="auto"/>
        <w:jc w:val="center"/>
        <w:rPr>
          <w:b/>
          <w:bCs/>
        </w:rPr>
      </w:pPr>
    </w:p>
    <w:p w14:paraId="77A6D32D" w14:textId="2E3A2584" w:rsidR="00890BE4" w:rsidRPr="00890BE4" w:rsidRDefault="00127624" w:rsidP="00890BE4">
      <w:pPr>
        <w:spacing w:after="0" w:line="240" w:lineRule="auto"/>
        <w:jc w:val="center"/>
        <w:rPr>
          <w:b/>
          <w:bCs/>
        </w:rPr>
      </w:pPr>
      <w:proofErr w:type="gramStart"/>
      <w:r w:rsidRPr="00890BE4">
        <w:rPr>
          <w:b/>
          <w:bCs/>
        </w:rPr>
        <w:t>( RÚBRICA</w:t>
      </w:r>
      <w:proofErr w:type="gramEnd"/>
      <w:r w:rsidRPr="00890BE4">
        <w:rPr>
          <w:b/>
          <w:bCs/>
        </w:rPr>
        <w:t xml:space="preserve"> )</w:t>
      </w:r>
    </w:p>
    <w:p w14:paraId="731E97BE" w14:textId="77777777" w:rsidR="00890BE4" w:rsidRDefault="00127624" w:rsidP="00890BE4">
      <w:pPr>
        <w:spacing w:after="0" w:line="240" w:lineRule="auto"/>
        <w:jc w:val="center"/>
        <w:rPr>
          <w:b/>
          <w:bCs/>
        </w:rPr>
      </w:pPr>
      <w:r w:rsidRPr="00890BE4">
        <w:rPr>
          <w:b/>
          <w:bCs/>
        </w:rPr>
        <w:t xml:space="preserve">Mtro. Joaquín Jesús Díaz Mena </w:t>
      </w:r>
    </w:p>
    <w:p w14:paraId="1DD1E8BF" w14:textId="6C18165B" w:rsidR="00890BE4" w:rsidRPr="00890BE4" w:rsidRDefault="00127624" w:rsidP="00890BE4">
      <w:pPr>
        <w:spacing w:after="0" w:line="240" w:lineRule="auto"/>
        <w:jc w:val="center"/>
        <w:rPr>
          <w:b/>
          <w:bCs/>
        </w:rPr>
      </w:pPr>
      <w:r w:rsidRPr="00890BE4">
        <w:rPr>
          <w:b/>
          <w:bCs/>
        </w:rPr>
        <w:t>Gobernador del Estado de Yucatán</w:t>
      </w:r>
    </w:p>
    <w:p w14:paraId="19C0D06E" w14:textId="77777777" w:rsidR="00890BE4" w:rsidRPr="00890BE4" w:rsidRDefault="00890BE4" w:rsidP="00890BE4">
      <w:pPr>
        <w:spacing w:after="0" w:line="240" w:lineRule="auto"/>
        <w:jc w:val="center"/>
        <w:rPr>
          <w:b/>
          <w:bCs/>
        </w:rPr>
      </w:pPr>
    </w:p>
    <w:p w14:paraId="68AC1F50" w14:textId="218D8B4D" w:rsidR="00890BE4" w:rsidRPr="00890BE4" w:rsidRDefault="00127624" w:rsidP="00890BE4">
      <w:pPr>
        <w:spacing w:after="0" w:line="240" w:lineRule="auto"/>
        <w:ind w:firstLine="708"/>
        <w:jc w:val="both"/>
        <w:rPr>
          <w:b/>
          <w:bCs/>
        </w:rPr>
      </w:pPr>
      <w:proofErr w:type="gramStart"/>
      <w:r w:rsidRPr="00890BE4">
        <w:rPr>
          <w:b/>
          <w:bCs/>
        </w:rPr>
        <w:t>( RÚBRICA</w:t>
      </w:r>
      <w:proofErr w:type="gramEnd"/>
      <w:r w:rsidRPr="00890BE4">
        <w:rPr>
          <w:b/>
          <w:bCs/>
        </w:rPr>
        <w:t xml:space="preserve"> )</w:t>
      </w:r>
    </w:p>
    <w:p w14:paraId="40FE1971" w14:textId="77777777" w:rsidR="00890BE4" w:rsidRDefault="00127624" w:rsidP="00890BE4">
      <w:pPr>
        <w:spacing w:after="0" w:line="240" w:lineRule="auto"/>
        <w:jc w:val="both"/>
        <w:rPr>
          <w:b/>
          <w:bCs/>
        </w:rPr>
      </w:pPr>
      <w:r w:rsidRPr="00890BE4">
        <w:rPr>
          <w:b/>
          <w:bCs/>
        </w:rPr>
        <w:t xml:space="preserve">Mtro. Omar David Pérez Avilés </w:t>
      </w:r>
    </w:p>
    <w:p w14:paraId="5D810C13" w14:textId="693273DB" w:rsidR="00127624" w:rsidRDefault="00127624" w:rsidP="00890BE4">
      <w:pPr>
        <w:spacing w:after="0" w:line="240" w:lineRule="auto"/>
        <w:jc w:val="both"/>
      </w:pPr>
      <w:r w:rsidRPr="00890BE4">
        <w:rPr>
          <w:b/>
          <w:bCs/>
        </w:rPr>
        <w:t>Secretario General de Gobierno</w:t>
      </w:r>
    </w:p>
    <w:sectPr w:rsidR="00127624" w:rsidSect="002539AF">
      <w:headerReference w:type="default" r:id="rId18"/>
      <w:footerReference w:type="default" r:id="rId19"/>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4D37" w14:textId="77777777" w:rsidR="00237A12" w:rsidRDefault="00237A12" w:rsidP="00753EEC">
      <w:pPr>
        <w:spacing w:after="0" w:line="240" w:lineRule="auto"/>
      </w:pPr>
      <w:r>
        <w:separator/>
      </w:r>
    </w:p>
  </w:endnote>
  <w:endnote w:type="continuationSeparator" w:id="0">
    <w:p w14:paraId="52EE7432" w14:textId="77777777" w:rsidR="00237A12" w:rsidRDefault="00237A12" w:rsidP="007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08B8" w14:textId="77777777" w:rsidR="00127624" w:rsidRDefault="0012762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1D4FD0" w14:textId="77777777" w:rsidR="00127624" w:rsidRDefault="001276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5A63" w14:textId="77777777" w:rsidR="00127624" w:rsidRDefault="0012762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C53DD6" w14:textId="77777777" w:rsidR="00127624" w:rsidRDefault="0012762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994615"/>
      <w:docPartObj>
        <w:docPartGallery w:val="Page Numbers (Bottom of Page)"/>
        <w:docPartUnique/>
      </w:docPartObj>
    </w:sdtPr>
    <w:sdtEndPr>
      <w:rPr>
        <w:rFonts w:ascii="Arial" w:hAnsi="Arial" w:cs="Arial"/>
        <w:sz w:val="20"/>
        <w:szCs w:val="20"/>
      </w:rPr>
    </w:sdtEndPr>
    <w:sdtContent>
      <w:p w14:paraId="44B53CF2" w14:textId="494F09A4" w:rsidR="0053353A" w:rsidRPr="00A057F7" w:rsidRDefault="0053353A">
        <w:pPr>
          <w:pStyle w:val="Piedepgina"/>
          <w:jc w:val="center"/>
          <w:rPr>
            <w:rFonts w:ascii="Arial" w:hAnsi="Arial" w:cs="Arial"/>
            <w:sz w:val="20"/>
            <w:szCs w:val="20"/>
          </w:rPr>
        </w:pPr>
        <w:r w:rsidRPr="00A057F7">
          <w:rPr>
            <w:rFonts w:ascii="Arial" w:hAnsi="Arial" w:cs="Arial"/>
            <w:sz w:val="20"/>
            <w:szCs w:val="20"/>
          </w:rPr>
          <w:fldChar w:fldCharType="begin"/>
        </w:r>
        <w:r w:rsidRPr="00A057F7">
          <w:rPr>
            <w:rFonts w:ascii="Arial" w:hAnsi="Arial" w:cs="Arial"/>
            <w:sz w:val="20"/>
            <w:szCs w:val="20"/>
          </w:rPr>
          <w:instrText>PAGE   \* MERGEFORMAT</w:instrText>
        </w:r>
        <w:r w:rsidRPr="00A057F7">
          <w:rPr>
            <w:rFonts w:ascii="Arial" w:hAnsi="Arial" w:cs="Arial"/>
            <w:sz w:val="20"/>
            <w:szCs w:val="20"/>
          </w:rPr>
          <w:fldChar w:fldCharType="separate"/>
        </w:r>
        <w:r w:rsidR="00BA4236" w:rsidRPr="00A057F7">
          <w:rPr>
            <w:rFonts w:ascii="Arial" w:hAnsi="Arial" w:cs="Arial"/>
            <w:noProof/>
            <w:sz w:val="20"/>
            <w:szCs w:val="20"/>
            <w:lang w:val="es-ES"/>
          </w:rPr>
          <w:t>81</w:t>
        </w:r>
        <w:r w:rsidRPr="00A057F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F42A" w14:textId="77777777" w:rsidR="00237A12" w:rsidRDefault="00237A12" w:rsidP="00753EEC">
      <w:pPr>
        <w:spacing w:after="0" w:line="240" w:lineRule="auto"/>
      </w:pPr>
      <w:r>
        <w:separator/>
      </w:r>
    </w:p>
  </w:footnote>
  <w:footnote w:type="continuationSeparator" w:id="0">
    <w:p w14:paraId="649303A5" w14:textId="77777777" w:rsidR="00237A12" w:rsidRDefault="00237A12" w:rsidP="00753EEC">
      <w:pPr>
        <w:spacing w:after="0" w:line="240" w:lineRule="auto"/>
      </w:pPr>
      <w:r>
        <w:continuationSeparator/>
      </w:r>
    </w:p>
  </w:footnote>
  <w:footnote w:id="1">
    <w:p w14:paraId="3B26527B" w14:textId="77777777" w:rsidR="00822666" w:rsidRPr="0019322C" w:rsidRDefault="00822666" w:rsidP="00822666">
      <w:pPr>
        <w:pStyle w:val="Textonotapie"/>
        <w:rPr>
          <w:rFonts w:ascii="Arial" w:hAnsi="Arial" w:cs="Arial"/>
          <w:i/>
          <w:lang w:val="es-MX"/>
        </w:rPr>
      </w:pPr>
      <w:r w:rsidRPr="0019322C">
        <w:rPr>
          <w:rStyle w:val="Refdenotaalpie"/>
          <w:rFonts w:ascii="Arial" w:hAnsi="Arial" w:cs="Arial"/>
          <w:i/>
          <w:sz w:val="18"/>
        </w:rPr>
        <w:footnoteRef/>
      </w:r>
      <w:r w:rsidRPr="0019322C">
        <w:rPr>
          <w:rFonts w:ascii="Arial" w:hAnsi="Arial" w:cs="Arial"/>
          <w:i/>
          <w:sz w:val="18"/>
        </w:rPr>
        <w:t xml:space="preserve"> </w:t>
      </w:r>
      <w:r w:rsidRPr="0019322C">
        <w:rPr>
          <w:rFonts w:ascii="Arial" w:hAnsi="Arial" w:cs="Arial"/>
          <w:i/>
          <w:shd w:val="clear" w:color="auto" w:fill="FFFFFF"/>
        </w:rPr>
        <w:t>Santofimio G., Jaime Orlando, A</w:t>
      </w:r>
      <w:r>
        <w:rPr>
          <w:rFonts w:ascii="Arial" w:hAnsi="Arial" w:cs="Arial"/>
          <w:i/>
          <w:shd w:val="clear" w:color="auto" w:fill="FFFFFF"/>
        </w:rPr>
        <w:t>cto administrativo, México, Unam</w:t>
      </w:r>
      <w:r w:rsidRPr="0019322C">
        <w:rPr>
          <w:rFonts w:ascii="Arial" w:hAnsi="Arial" w:cs="Arial"/>
          <w:i/>
          <w:shd w:val="clear" w:color="auto" w:fill="FFFFFF"/>
        </w:rPr>
        <w:t>, 1988, p. 14.</w:t>
      </w:r>
    </w:p>
  </w:footnote>
  <w:footnote w:id="2">
    <w:p w14:paraId="48371B84" w14:textId="77777777" w:rsidR="00822666" w:rsidRPr="0019322C" w:rsidRDefault="00822666" w:rsidP="00822666">
      <w:pPr>
        <w:pStyle w:val="Textonotapie"/>
        <w:rPr>
          <w:lang w:val="es-MX"/>
        </w:rPr>
      </w:pPr>
      <w:r w:rsidRPr="0019322C">
        <w:rPr>
          <w:rStyle w:val="Refdenotaalpie"/>
          <w:rFonts w:ascii="Arial" w:hAnsi="Arial" w:cs="Arial"/>
          <w:i/>
        </w:rPr>
        <w:footnoteRef/>
      </w:r>
      <w:r w:rsidRPr="0019322C">
        <w:rPr>
          <w:rFonts w:ascii="Arial" w:hAnsi="Arial" w:cs="Arial"/>
          <w:i/>
        </w:rPr>
        <w:t xml:space="preserve"> </w:t>
      </w:r>
      <w:r w:rsidRPr="0019322C">
        <w:rPr>
          <w:rFonts w:ascii="Arial" w:hAnsi="Arial" w:cs="Arial"/>
          <w:i/>
          <w:lang w:val="es-MX"/>
        </w:rPr>
        <w:t>Acosta R, Miguel, Estructura Administrativa Municipal, México, Unam, 1983, p. 726</w:t>
      </w:r>
      <w:r>
        <w:rPr>
          <w:rFonts w:ascii="Arial" w:hAnsi="Arial" w:cs="Arial"/>
          <w:i/>
          <w:lang w:val="es-MX"/>
        </w:rPr>
        <w:t>.</w:t>
      </w:r>
    </w:p>
  </w:footnote>
  <w:footnote w:id="3">
    <w:p w14:paraId="052760D6" w14:textId="77777777" w:rsidR="00822666" w:rsidRPr="006157CA" w:rsidRDefault="00822666" w:rsidP="00822666">
      <w:pPr>
        <w:shd w:val="clear" w:color="auto" w:fill="F6F6F6"/>
        <w:spacing w:after="150" w:line="276" w:lineRule="auto"/>
        <w:ind w:firstLine="709"/>
        <w:jc w:val="both"/>
        <w:textAlignment w:val="baseline"/>
        <w:rPr>
          <w:rFonts w:ascii="Arial" w:hAnsi="Arial" w:cs="Arial"/>
          <w:i/>
          <w:sz w:val="20"/>
        </w:rPr>
      </w:pPr>
      <w:r>
        <w:rPr>
          <w:rStyle w:val="Refdenotaalpie"/>
        </w:rPr>
        <w:footnoteRef/>
      </w:r>
      <w:r>
        <w:t xml:space="preserve"> </w:t>
      </w:r>
      <w:r w:rsidRPr="006157CA">
        <w:rPr>
          <w:rFonts w:ascii="Arial" w:hAnsi="Arial" w:cs="Arial"/>
          <w:i/>
          <w:sz w:val="20"/>
        </w:rPr>
        <w:t xml:space="preserve">Época: Décima Época, Registro: 160810, Instancia: Pleno, Tipo de Tesis: Jurisprudencia, Fuente: Semanario Judicial de la Federación y su Gaceta, Libro I, Octubre de 2011, Tomo 1, Materia(s): Constitucional, Tesis: P./J. 44/2011 (9a.), Página: 294 </w:t>
      </w:r>
    </w:p>
    <w:p w14:paraId="52BAA8F7" w14:textId="77777777" w:rsidR="00822666" w:rsidRDefault="00822666" w:rsidP="00822666">
      <w:pPr>
        <w:pStyle w:val="Textonotapie"/>
      </w:pPr>
    </w:p>
  </w:footnote>
  <w:footnote w:id="4">
    <w:p w14:paraId="5DF0E08C" w14:textId="77777777" w:rsidR="00822666" w:rsidRPr="000723F6" w:rsidRDefault="00822666" w:rsidP="00822666">
      <w:pPr>
        <w:pStyle w:val="Textonotapie"/>
        <w:jc w:val="both"/>
        <w:rPr>
          <w:rFonts w:ascii="Arial" w:hAnsi="Arial" w:cs="Arial"/>
          <w:sz w:val="16"/>
          <w:szCs w:val="16"/>
        </w:rPr>
      </w:pPr>
      <w:r w:rsidRPr="000723F6">
        <w:rPr>
          <w:rStyle w:val="Refdenotaalpie"/>
          <w:rFonts w:ascii="Arial" w:hAnsi="Arial" w:cs="Arial"/>
          <w:sz w:val="16"/>
          <w:szCs w:val="16"/>
        </w:rPr>
        <w:footnoteRef/>
      </w:r>
      <w:r w:rsidRPr="000723F6">
        <w:rPr>
          <w:rFonts w:ascii="Arial" w:hAnsi="Arial" w:cs="Arial"/>
          <w:sz w:val="16"/>
          <w:szCs w:val="16"/>
        </w:rPr>
        <w:t xml:space="preserve"> Obligación de los mexicanos a contribuir al gasto público, así de la Federación como del Distrito Federal o del Estado y Municipios.</w:t>
      </w:r>
    </w:p>
  </w:footnote>
  <w:footnote w:id="5">
    <w:p w14:paraId="7CE34C5F" w14:textId="77777777" w:rsidR="00822666" w:rsidRPr="00291135" w:rsidRDefault="00822666" w:rsidP="00822666">
      <w:pPr>
        <w:widowControl w:val="0"/>
        <w:autoSpaceDE w:val="0"/>
        <w:autoSpaceDN w:val="0"/>
        <w:adjustRightInd w:val="0"/>
        <w:spacing w:after="240"/>
        <w:jc w:val="both"/>
        <w:rPr>
          <w:rFonts w:ascii="Arial" w:hAnsi="Arial" w:cs="Arial"/>
          <w:sz w:val="16"/>
          <w:szCs w:val="16"/>
        </w:rPr>
      </w:pPr>
      <w:r w:rsidRPr="00291135">
        <w:rPr>
          <w:rStyle w:val="Refdenotaalpie"/>
          <w:rFonts w:ascii="Arial" w:hAnsi="Arial" w:cs="Arial"/>
          <w:sz w:val="16"/>
          <w:szCs w:val="16"/>
        </w:rPr>
        <w:footnoteRef/>
      </w:r>
      <w:r w:rsidRPr="00291135">
        <w:rPr>
          <w:rFonts w:ascii="Arial" w:hAnsi="Arial" w:cs="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14:paraId="36F5DFD5" w14:textId="77777777" w:rsidR="00822666" w:rsidRDefault="00822666" w:rsidP="0082266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27624" w14:paraId="6809F8B9" w14:textId="77777777" w:rsidTr="0095677F">
      <w:trPr>
        <w:cantSplit/>
        <w:trHeight w:val="329"/>
      </w:trPr>
      <w:tc>
        <w:tcPr>
          <w:tcW w:w="1260" w:type="dxa"/>
          <w:vMerge w:val="restart"/>
          <w:vAlign w:val="center"/>
        </w:tcPr>
        <w:p w14:paraId="2CC299FA" w14:textId="77777777" w:rsidR="00127624" w:rsidRDefault="00127624" w:rsidP="00AC6F52">
          <w:pPr>
            <w:pStyle w:val="Encabezado"/>
            <w:rPr>
              <w:rFonts w:ascii="CG Omega" w:hAnsi="CG Omega" w:cs="CG Omega"/>
              <w:sz w:val="16"/>
              <w:szCs w:val="16"/>
            </w:rPr>
          </w:pPr>
          <w:r w:rsidRPr="00385D64">
            <w:rPr>
              <w:rFonts w:ascii="CG Omega" w:hAnsi="CG Omega" w:cs="CG Omega"/>
              <w:sz w:val="16"/>
              <w:szCs w:val="16"/>
            </w:rPr>
            <w:object w:dxaOrig="1131" w:dyaOrig="987" w14:anchorId="3A85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798876563" r:id="rId2"/>
            </w:object>
          </w:r>
        </w:p>
      </w:tc>
      <w:tc>
        <w:tcPr>
          <w:tcW w:w="9000" w:type="dxa"/>
          <w:gridSpan w:val="2"/>
          <w:tcBorders>
            <w:bottom w:val="double" w:sz="4" w:space="0" w:color="auto"/>
          </w:tcBorders>
          <w:vAlign w:val="bottom"/>
        </w:tcPr>
        <w:p w14:paraId="4099D194" w14:textId="77777777" w:rsidR="00127624" w:rsidRDefault="0012762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27624" w14:paraId="3A9E55C8" w14:textId="77777777" w:rsidTr="0095677F">
      <w:trPr>
        <w:cantSplit/>
        <w:trHeight w:val="49"/>
      </w:trPr>
      <w:tc>
        <w:tcPr>
          <w:tcW w:w="1260" w:type="dxa"/>
          <w:vMerge/>
        </w:tcPr>
        <w:p w14:paraId="6197C8DE" w14:textId="77777777" w:rsidR="00127624" w:rsidRDefault="00127624" w:rsidP="00AC6F52">
          <w:pPr>
            <w:pStyle w:val="Encabezado"/>
            <w:rPr>
              <w:rFonts w:ascii="CG Omega" w:hAnsi="CG Omega" w:cs="CG Omega"/>
              <w:sz w:val="16"/>
              <w:szCs w:val="16"/>
            </w:rPr>
          </w:pPr>
        </w:p>
      </w:tc>
      <w:tc>
        <w:tcPr>
          <w:tcW w:w="9000" w:type="dxa"/>
          <w:gridSpan w:val="2"/>
          <w:tcBorders>
            <w:top w:val="double" w:sz="4" w:space="0" w:color="auto"/>
          </w:tcBorders>
        </w:tcPr>
        <w:p w14:paraId="1701C990" w14:textId="77777777" w:rsidR="00127624" w:rsidRDefault="00127624" w:rsidP="00AC6F52">
          <w:pPr>
            <w:pStyle w:val="Encabezado"/>
            <w:ind w:left="-70"/>
            <w:jc w:val="right"/>
            <w:rPr>
              <w:rFonts w:ascii="Arial Narrow" w:hAnsi="Arial Narrow" w:cs="Arial Narrow"/>
              <w:sz w:val="4"/>
              <w:szCs w:val="4"/>
            </w:rPr>
          </w:pPr>
        </w:p>
      </w:tc>
    </w:tr>
    <w:tr w:rsidR="00127624" w:rsidRPr="001D52AB" w14:paraId="73758767" w14:textId="77777777" w:rsidTr="0095677F">
      <w:trPr>
        <w:cantSplit/>
        <w:trHeight w:val="291"/>
      </w:trPr>
      <w:tc>
        <w:tcPr>
          <w:tcW w:w="1260" w:type="dxa"/>
          <w:vMerge/>
        </w:tcPr>
        <w:p w14:paraId="674DA389" w14:textId="77777777" w:rsidR="00127624" w:rsidRDefault="00127624" w:rsidP="00AC6F52">
          <w:pPr>
            <w:pStyle w:val="Encabezado"/>
            <w:rPr>
              <w:rFonts w:ascii="CG Omega" w:hAnsi="CG Omega" w:cs="CG Omega"/>
              <w:sz w:val="16"/>
              <w:szCs w:val="16"/>
            </w:rPr>
          </w:pPr>
        </w:p>
      </w:tc>
      <w:tc>
        <w:tcPr>
          <w:tcW w:w="4212" w:type="dxa"/>
        </w:tcPr>
        <w:p w14:paraId="28879C5B" w14:textId="77777777" w:rsidR="00127624" w:rsidRPr="004048C7" w:rsidRDefault="00127624"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58623E0" w14:textId="77777777" w:rsidR="00127624" w:rsidRPr="004048C7" w:rsidRDefault="00127624"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361B39E4" w14:textId="77777777" w:rsidR="00127624" w:rsidRPr="004048C7" w:rsidRDefault="00127624"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D88C0DC" w14:textId="77777777" w:rsidR="00127624" w:rsidRDefault="00127624" w:rsidP="00AC6F52">
          <w:pPr>
            <w:pStyle w:val="Encabezado"/>
            <w:ind w:left="-70"/>
            <w:rPr>
              <w:rFonts w:ascii="Arial Narrow" w:hAnsi="Arial Narrow" w:cs="Arial Narrow"/>
              <w:sz w:val="4"/>
              <w:szCs w:val="4"/>
            </w:rPr>
          </w:pPr>
        </w:p>
      </w:tc>
      <w:tc>
        <w:tcPr>
          <w:tcW w:w="4788" w:type="dxa"/>
        </w:tcPr>
        <w:p w14:paraId="125B9A61" w14:textId="77777777" w:rsidR="00127624" w:rsidRDefault="00127624"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5F3E48A3" w14:textId="77777777" w:rsidR="00127624" w:rsidRPr="001D52AB" w:rsidRDefault="00127624" w:rsidP="00AC6F52">
          <w:pPr>
            <w:pStyle w:val="Encabezado"/>
            <w:ind w:left="-70"/>
            <w:jc w:val="right"/>
            <w:rPr>
              <w:rFonts w:ascii="Arial" w:hAnsi="Arial" w:cs="Arial"/>
              <w:i/>
              <w:iCs/>
              <w:sz w:val="18"/>
              <w:szCs w:val="18"/>
            </w:rPr>
          </w:pPr>
        </w:p>
      </w:tc>
    </w:tr>
  </w:tbl>
  <w:p w14:paraId="7ED873B9" w14:textId="77777777" w:rsidR="00127624" w:rsidRDefault="001276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27624" w14:paraId="0819EEF9" w14:textId="77777777" w:rsidTr="00B61DF7">
      <w:trPr>
        <w:cantSplit/>
        <w:trHeight w:val="329"/>
      </w:trPr>
      <w:tc>
        <w:tcPr>
          <w:tcW w:w="1260" w:type="dxa"/>
          <w:vMerge w:val="restart"/>
          <w:vAlign w:val="center"/>
        </w:tcPr>
        <w:p w14:paraId="03376113" w14:textId="18786138" w:rsidR="00127624" w:rsidRDefault="00127624" w:rsidP="00127624">
          <w:pPr>
            <w:pStyle w:val="Encabezado"/>
            <w:rPr>
              <w:rFonts w:ascii="CG Omega" w:hAnsi="CG Omega" w:cs="CG Omega"/>
              <w:sz w:val="16"/>
              <w:szCs w:val="16"/>
            </w:rPr>
          </w:pPr>
          <w:r w:rsidRPr="00385D64">
            <w:rPr>
              <w:rFonts w:ascii="CG Omega" w:hAnsi="CG Omega" w:cs="CG Omega"/>
              <w:sz w:val="16"/>
              <w:szCs w:val="16"/>
            </w:rPr>
            <w:object w:dxaOrig="1131" w:dyaOrig="987" w14:anchorId="5A9E3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25pt;height:48.75pt">
                <v:imagedata r:id="rId1" o:title=""/>
              </v:shape>
              <o:OLEObject Type="Embed" ProgID="Word.Picture.8" ShapeID="_x0000_i1035" DrawAspect="Content" ObjectID="_1798876564" r:id="rId2"/>
            </w:object>
          </w:r>
        </w:p>
      </w:tc>
      <w:tc>
        <w:tcPr>
          <w:tcW w:w="9000" w:type="dxa"/>
          <w:gridSpan w:val="2"/>
          <w:tcBorders>
            <w:bottom w:val="double" w:sz="4" w:space="0" w:color="auto"/>
          </w:tcBorders>
          <w:vAlign w:val="bottom"/>
        </w:tcPr>
        <w:p w14:paraId="7E93D331" w14:textId="09AB5F18" w:rsidR="00127624" w:rsidRDefault="00127624" w:rsidP="001276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w:t>
          </w:r>
          <w:r>
            <w:rPr>
              <w:rFonts w:ascii="Franklin Gothic Medium" w:hAnsi="Franklin Gothic Medium" w:cs="Franklin Gothic Medium"/>
              <w:b/>
              <w:bCs/>
              <w:sz w:val="18"/>
              <w:szCs w:val="18"/>
            </w:rPr>
            <w:t>5</w:t>
          </w:r>
          <w:r>
            <w:rPr>
              <w:rFonts w:ascii="Franklin Gothic Medium" w:hAnsi="Franklin Gothic Medium" w:cs="Franklin Gothic Medium"/>
              <w:b/>
              <w:bCs/>
              <w:sz w:val="18"/>
              <w:szCs w:val="18"/>
            </w:rPr>
            <w:t>.</w:t>
          </w:r>
        </w:p>
      </w:tc>
    </w:tr>
    <w:tr w:rsidR="00127624" w14:paraId="0460EFAA" w14:textId="77777777" w:rsidTr="00B61DF7">
      <w:trPr>
        <w:cantSplit/>
        <w:trHeight w:val="49"/>
      </w:trPr>
      <w:tc>
        <w:tcPr>
          <w:tcW w:w="1260" w:type="dxa"/>
          <w:vMerge/>
        </w:tcPr>
        <w:p w14:paraId="65F18DB6" w14:textId="77777777" w:rsidR="00127624" w:rsidRDefault="00127624" w:rsidP="00127624">
          <w:pPr>
            <w:pStyle w:val="Encabezado"/>
            <w:rPr>
              <w:rFonts w:ascii="CG Omega" w:hAnsi="CG Omega" w:cs="CG Omega"/>
              <w:sz w:val="16"/>
              <w:szCs w:val="16"/>
            </w:rPr>
          </w:pPr>
        </w:p>
      </w:tc>
      <w:tc>
        <w:tcPr>
          <w:tcW w:w="9000" w:type="dxa"/>
          <w:gridSpan w:val="2"/>
          <w:tcBorders>
            <w:top w:val="double" w:sz="4" w:space="0" w:color="auto"/>
          </w:tcBorders>
        </w:tcPr>
        <w:p w14:paraId="7ED6755A" w14:textId="77777777" w:rsidR="00127624" w:rsidRDefault="00127624" w:rsidP="00127624">
          <w:pPr>
            <w:pStyle w:val="Encabezado"/>
            <w:ind w:left="-70"/>
            <w:jc w:val="right"/>
            <w:rPr>
              <w:rFonts w:ascii="Arial Narrow" w:hAnsi="Arial Narrow" w:cs="Arial Narrow"/>
              <w:sz w:val="4"/>
              <w:szCs w:val="4"/>
            </w:rPr>
          </w:pPr>
        </w:p>
      </w:tc>
    </w:tr>
    <w:tr w:rsidR="00127624" w:rsidRPr="001D52AB" w14:paraId="60F878C7" w14:textId="77777777" w:rsidTr="00B61DF7">
      <w:trPr>
        <w:cantSplit/>
        <w:trHeight w:val="291"/>
      </w:trPr>
      <w:tc>
        <w:tcPr>
          <w:tcW w:w="1260" w:type="dxa"/>
          <w:vMerge/>
        </w:tcPr>
        <w:p w14:paraId="15D70AE0" w14:textId="77777777" w:rsidR="00127624" w:rsidRDefault="00127624" w:rsidP="00127624">
          <w:pPr>
            <w:pStyle w:val="Encabezado"/>
            <w:rPr>
              <w:rFonts w:ascii="CG Omega" w:hAnsi="CG Omega" w:cs="CG Omega"/>
              <w:sz w:val="16"/>
              <w:szCs w:val="16"/>
            </w:rPr>
          </w:pPr>
        </w:p>
      </w:tc>
      <w:tc>
        <w:tcPr>
          <w:tcW w:w="4212" w:type="dxa"/>
        </w:tcPr>
        <w:p w14:paraId="75C8FD1A" w14:textId="77777777" w:rsidR="00127624" w:rsidRPr="004048C7" w:rsidRDefault="00127624" w:rsidP="0012762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AA2C475" w14:textId="77777777" w:rsidR="00127624" w:rsidRPr="004048C7" w:rsidRDefault="00127624" w:rsidP="00127624">
          <w:pPr>
            <w:pStyle w:val="Encabezado"/>
            <w:ind w:left="110"/>
            <w:rPr>
              <w:rFonts w:ascii="Arial" w:hAnsi="Arial" w:cs="Arial"/>
              <w:sz w:val="17"/>
              <w:szCs w:val="17"/>
            </w:rPr>
          </w:pPr>
          <w:r>
            <w:rPr>
              <w:rFonts w:ascii="Arial" w:hAnsi="Arial" w:cs="Arial"/>
              <w:sz w:val="17"/>
              <w:szCs w:val="17"/>
            </w:rPr>
            <w:t>Secretaría General del Poder Legislativo</w:t>
          </w:r>
        </w:p>
        <w:p w14:paraId="115799A5" w14:textId="77777777" w:rsidR="00127624" w:rsidRPr="004048C7" w:rsidRDefault="00127624" w:rsidP="0012762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8ADF9F3" w14:textId="77777777" w:rsidR="00127624" w:rsidRDefault="00127624" w:rsidP="00127624">
          <w:pPr>
            <w:pStyle w:val="Encabezado"/>
            <w:ind w:left="-70"/>
            <w:rPr>
              <w:rFonts w:ascii="Arial Narrow" w:hAnsi="Arial Narrow" w:cs="Arial Narrow"/>
              <w:sz w:val="4"/>
              <w:szCs w:val="4"/>
            </w:rPr>
          </w:pPr>
        </w:p>
      </w:tc>
      <w:tc>
        <w:tcPr>
          <w:tcW w:w="4788" w:type="dxa"/>
        </w:tcPr>
        <w:p w14:paraId="755AC327" w14:textId="1E784285" w:rsidR="00127624" w:rsidRDefault="00127624" w:rsidP="00127624">
          <w:pPr>
            <w:pStyle w:val="Encabezado"/>
            <w:ind w:left="-70"/>
            <w:jc w:val="right"/>
            <w:rPr>
              <w:rFonts w:ascii="Arial" w:hAnsi="Arial" w:cs="Arial"/>
              <w:i/>
              <w:iCs/>
              <w:sz w:val="18"/>
              <w:szCs w:val="18"/>
            </w:rPr>
          </w:pPr>
          <w:r>
            <w:rPr>
              <w:rFonts w:ascii="Arial" w:hAnsi="Arial" w:cs="Arial"/>
              <w:i/>
              <w:iCs/>
              <w:sz w:val="18"/>
              <w:szCs w:val="18"/>
            </w:rPr>
            <w:t xml:space="preserve">Nueva Publicación D.O. </w:t>
          </w:r>
          <w:r>
            <w:rPr>
              <w:rFonts w:ascii="Arial" w:hAnsi="Arial" w:cs="Arial"/>
              <w:i/>
              <w:iCs/>
              <w:sz w:val="18"/>
              <w:szCs w:val="18"/>
            </w:rPr>
            <w:t>30</w:t>
          </w:r>
          <w:r>
            <w:rPr>
              <w:rFonts w:ascii="Arial" w:hAnsi="Arial" w:cs="Arial"/>
              <w:i/>
              <w:iCs/>
              <w:sz w:val="18"/>
              <w:szCs w:val="18"/>
            </w:rPr>
            <w:t>-diciembre-202</w:t>
          </w:r>
          <w:r>
            <w:rPr>
              <w:rFonts w:ascii="Arial" w:hAnsi="Arial" w:cs="Arial"/>
              <w:i/>
              <w:iCs/>
              <w:sz w:val="18"/>
              <w:szCs w:val="18"/>
            </w:rPr>
            <w:t>4</w:t>
          </w:r>
        </w:p>
        <w:p w14:paraId="35FDB43E" w14:textId="77777777" w:rsidR="00127624" w:rsidRPr="001D52AB" w:rsidRDefault="00127624" w:rsidP="00127624">
          <w:pPr>
            <w:pStyle w:val="Encabezado"/>
            <w:ind w:left="-70"/>
            <w:jc w:val="right"/>
            <w:rPr>
              <w:rFonts w:ascii="Arial" w:hAnsi="Arial" w:cs="Arial"/>
              <w:i/>
              <w:iCs/>
              <w:sz w:val="18"/>
              <w:szCs w:val="18"/>
            </w:rPr>
          </w:pPr>
        </w:p>
      </w:tc>
    </w:tr>
  </w:tbl>
  <w:p w14:paraId="09D12D67" w14:textId="734C8BDB" w:rsidR="0053353A" w:rsidRDefault="005335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8010400">
    <w:abstractNumId w:val="8"/>
  </w:num>
  <w:num w:numId="2" w16cid:durableId="995190110">
    <w:abstractNumId w:val="4"/>
  </w:num>
  <w:num w:numId="3" w16cid:durableId="69471928">
    <w:abstractNumId w:val="3"/>
  </w:num>
  <w:num w:numId="4" w16cid:durableId="401946165">
    <w:abstractNumId w:val="6"/>
  </w:num>
  <w:num w:numId="5" w16cid:durableId="139737118">
    <w:abstractNumId w:val="9"/>
  </w:num>
  <w:num w:numId="6" w16cid:durableId="1696536800">
    <w:abstractNumId w:val="5"/>
  </w:num>
  <w:num w:numId="7" w16cid:durableId="1469475630">
    <w:abstractNumId w:val="2"/>
  </w:num>
  <w:num w:numId="8" w16cid:durableId="1339693216">
    <w:abstractNumId w:val="1"/>
  </w:num>
  <w:num w:numId="9" w16cid:durableId="285813109">
    <w:abstractNumId w:val="7"/>
  </w:num>
  <w:num w:numId="10" w16cid:durableId="11953400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F1"/>
    <w:rsid w:val="0000283F"/>
    <w:rsid w:val="000338A1"/>
    <w:rsid w:val="000751B4"/>
    <w:rsid w:val="00077844"/>
    <w:rsid w:val="000B01D0"/>
    <w:rsid w:val="000E7CD0"/>
    <w:rsid w:val="000F78DA"/>
    <w:rsid w:val="0011199F"/>
    <w:rsid w:val="00127624"/>
    <w:rsid w:val="001849E3"/>
    <w:rsid w:val="00192F50"/>
    <w:rsid w:val="001936CB"/>
    <w:rsid w:val="00237A12"/>
    <w:rsid w:val="00243201"/>
    <w:rsid w:val="002539AF"/>
    <w:rsid w:val="00265318"/>
    <w:rsid w:val="002A2F27"/>
    <w:rsid w:val="002A5C7A"/>
    <w:rsid w:val="00300662"/>
    <w:rsid w:val="00327416"/>
    <w:rsid w:val="00375E2B"/>
    <w:rsid w:val="003A0022"/>
    <w:rsid w:val="003C74D2"/>
    <w:rsid w:val="00412AE1"/>
    <w:rsid w:val="00423C6C"/>
    <w:rsid w:val="004623B3"/>
    <w:rsid w:val="004D0137"/>
    <w:rsid w:val="004E0390"/>
    <w:rsid w:val="0053353A"/>
    <w:rsid w:val="00553B0C"/>
    <w:rsid w:val="0056247F"/>
    <w:rsid w:val="005746AF"/>
    <w:rsid w:val="005A60D4"/>
    <w:rsid w:val="005E1C9D"/>
    <w:rsid w:val="006577A9"/>
    <w:rsid w:val="006629C0"/>
    <w:rsid w:val="006A64F6"/>
    <w:rsid w:val="006B208B"/>
    <w:rsid w:val="006E1A67"/>
    <w:rsid w:val="006F238C"/>
    <w:rsid w:val="00715533"/>
    <w:rsid w:val="0072365B"/>
    <w:rsid w:val="00732ADA"/>
    <w:rsid w:val="0073387B"/>
    <w:rsid w:val="00753EEC"/>
    <w:rsid w:val="00797CC2"/>
    <w:rsid w:val="007E14E7"/>
    <w:rsid w:val="00822666"/>
    <w:rsid w:val="008708F3"/>
    <w:rsid w:val="00890BE4"/>
    <w:rsid w:val="00906D73"/>
    <w:rsid w:val="00923885"/>
    <w:rsid w:val="00942B4A"/>
    <w:rsid w:val="009609AE"/>
    <w:rsid w:val="009744EF"/>
    <w:rsid w:val="00981A2D"/>
    <w:rsid w:val="009876B8"/>
    <w:rsid w:val="009920DD"/>
    <w:rsid w:val="00A057F7"/>
    <w:rsid w:val="00A22B7D"/>
    <w:rsid w:val="00A72C6B"/>
    <w:rsid w:val="00A81D4C"/>
    <w:rsid w:val="00A844CA"/>
    <w:rsid w:val="00AA5F88"/>
    <w:rsid w:val="00AB21EE"/>
    <w:rsid w:val="00AB47FB"/>
    <w:rsid w:val="00AB69C7"/>
    <w:rsid w:val="00AD65AF"/>
    <w:rsid w:val="00AE0E9E"/>
    <w:rsid w:val="00AF2B2A"/>
    <w:rsid w:val="00B03CAC"/>
    <w:rsid w:val="00B0440C"/>
    <w:rsid w:val="00B14A4E"/>
    <w:rsid w:val="00B454F1"/>
    <w:rsid w:val="00B72B7D"/>
    <w:rsid w:val="00BA4236"/>
    <w:rsid w:val="00BA6201"/>
    <w:rsid w:val="00BC44D7"/>
    <w:rsid w:val="00BF0476"/>
    <w:rsid w:val="00BF1274"/>
    <w:rsid w:val="00C64B83"/>
    <w:rsid w:val="00C75430"/>
    <w:rsid w:val="00C84687"/>
    <w:rsid w:val="00CE3FC5"/>
    <w:rsid w:val="00CF214B"/>
    <w:rsid w:val="00CF6C09"/>
    <w:rsid w:val="00D346F1"/>
    <w:rsid w:val="00D837C3"/>
    <w:rsid w:val="00DB28D0"/>
    <w:rsid w:val="00DB7187"/>
    <w:rsid w:val="00DC0976"/>
    <w:rsid w:val="00E33F1D"/>
    <w:rsid w:val="00E3438B"/>
    <w:rsid w:val="00E35744"/>
    <w:rsid w:val="00F54DCF"/>
    <w:rsid w:val="00F96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89849E6"/>
  <w15:chartTrackingRefBased/>
  <w15:docId w15:val="{FE7D9F34-52F8-4434-93C4-DA1BAE15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214B"/>
    <w:pPr>
      <w:keepNext/>
      <w:keepLines/>
      <w:widowControl w:val="0"/>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CF214B"/>
    <w:pPr>
      <w:keepNext/>
      <w:keepLines/>
      <w:widowControl w:val="0"/>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CF214B"/>
    <w:pPr>
      <w:keepNext/>
      <w:keepLines/>
      <w:widowControl w:val="0"/>
      <w:spacing w:before="160" w:after="80" w:line="240" w:lineRule="auto"/>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CF214B"/>
    <w:pPr>
      <w:keepNext/>
      <w:keepLines/>
      <w:widowControl w:val="0"/>
      <w:spacing w:before="80" w:after="40" w:line="240" w:lineRule="auto"/>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CF214B"/>
    <w:pPr>
      <w:keepNext/>
      <w:keepLines/>
      <w:widowControl w:val="0"/>
      <w:spacing w:before="80" w:after="40" w:line="240" w:lineRule="auto"/>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CF214B"/>
    <w:pPr>
      <w:keepNext/>
      <w:keepLines/>
      <w:widowControl w:val="0"/>
      <w:spacing w:before="40" w:after="0" w:line="240"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F214B"/>
    <w:pPr>
      <w:keepNext/>
      <w:keepLines/>
      <w:widowControl w:val="0"/>
      <w:spacing w:before="40" w:after="0" w:line="240" w:lineRule="auto"/>
      <w:outlineLvl w:val="6"/>
    </w:pPr>
    <w:rPr>
      <w:rFonts w:eastAsiaTheme="majorEastAsia" w:cstheme="majorBidi"/>
      <w:color w:val="595959" w:themeColor="text1" w:themeTint="A6"/>
    </w:rPr>
  </w:style>
  <w:style w:type="paragraph" w:styleId="Ttulo8">
    <w:name w:val="heading 8"/>
    <w:basedOn w:val="Normal"/>
    <w:next w:val="Normal"/>
    <w:link w:val="Ttulo8Car"/>
    <w:semiHidden/>
    <w:unhideWhenUsed/>
    <w:qFormat/>
    <w:rsid w:val="00CF214B"/>
    <w:pPr>
      <w:keepNext/>
      <w:keepLines/>
      <w:widowControl w:val="0"/>
      <w:spacing w:after="0" w:line="240"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F214B"/>
    <w:pPr>
      <w:keepNext/>
      <w:keepLines/>
      <w:widowControl w:val="0"/>
      <w:spacing w:after="0" w:line="240" w:lineRule="auto"/>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qFormat/>
    <w:rsid w:val="00B454F1"/>
    <w:pPr>
      <w:spacing w:after="120"/>
    </w:pPr>
  </w:style>
  <w:style w:type="character" w:customStyle="1" w:styleId="TextoindependienteCar">
    <w:name w:val="Texto independiente Car"/>
    <w:basedOn w:val="Fuentedeprrafopredeter"/>
    <w:link w:val="Textoindependiente"/>
    <w:uiPriority w:val="99"/>
    <w:rsid w:val="00B454F1"/>
  </w:style>
  <w:style w:type="character" w:customStyle="1" w:styleId="Ttulo1Car">
    <w:name w:val="Título 1 Car"/>
    <w:basedOn w:val="Fuentedeprrafopredeter"/>
    <w:link w:val="Ttulo1"/>
    <w:rsid w:val="00CF214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CF214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rsid w:val="00CF214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CF214B"/>
    <w:rPr>
      <w:rFonts w:eastAsiaTheme="majorEastAsia" w:cstheme="majorBidi"/>
      <w:i/>
      <w:iCs/>
      <w:color w:val="2E74B5" w:themeColor="accent1" w:themeShade="BF"/>
    </w:rPr>
  </w:style>
  <w:style w:type="character" w:customStyle="1" w:styleId="Ttulo5Car">
    <w:name w:val="Título 5 Car"/>
    <w:basedOn w:val="Fuentedeprrafopredeter"/>
    <w:link w:val="Ttulo5"/>
    <w:rsid w:val="00CF214B"/>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CF21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F214B"/>
    <w:rPr>
      <w:rFonts w:eastAsiaTheme="majorEastAsia" w:cstheme="majorBidi"/>
      <w:color w:val="595959" w:themeColor="text1" w:themeTint="A6"/>
    </w:rPr>
  </w:style>
  <w:style w:type="character" w:customStyle="1" w:styleId="Ttulo8Car">
    <w:name w:val="Título 8 Car"/>
    <w:basedOn w:val="Fuentedeprrafopredeter"/>
    <w:link w:val="Ttulo8"/>
    <w:semiHidden/>
    <w:rsid w:val="00CF214B"/>
    <w:rPr>
      <w:rFonts w:eastAsiaTheme="majorEastAsia" w:cstheme="majorBidi"/>
      <w:i/>
      <w:iCs/>
      <w:color w:val="272727" w:themeColor="text1" w:themeTint="D8"/>
    </w:rPr>
  </w:style>
  <w:style w:type="character" w:customStyle="1" w:styleId="Ttulo9Car">
    <w:name w:val="Título 9 Car"/>
    <w:basedOn w:val="Fuentedeprrafopredeter"/>
    <w:link w:val="Ttulo9"/>
    <w:rsid w:val="00CF214B"/>
    <w:rPr>
      <w:rFonts w:eastAsiaTheme="majorEastAsia" w:cstheme="majorBidi"/>
      <w:color w:val="272727" w:themeColor="text1" w:themeTint="D8"/>
    </w:rPr>
  </w:style>
  <w:style w:type="paragraph" w:styleId="Ttulo">
    <w:name w:val="Title"/>
    <w:basedOn w:val="Normal"/>
    <w:next w:val="Normal"/>
    <w:link w:val="TtuloCar"/>
    <w:qFormat/>
    <w:rsid w:val="00CF214B"/>
    <w:pPr>
      <w:widowControl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21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214B"/>
    <w:pPr>
      <w:widowControl w:val="0"/>
      <w:numPr>
        <w:ilvl w:val="1"/>
      </w:numPr>
      <w:spacing w:after="0"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F21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4B"/>
    <w:pPr>
      <w:widowControl w:val="0"/>
      <w:spacing w:before="160" w:after="0" w:line="240" w:lineRule="auto"/>
      <w:jc w:val="center"/>
    </w:pPr>
    <w:rPr>
      <w:i/>
      <w:iCs/>
      <w:color w:val="404040" w:themeColor="text1" w:themeTint="BF"/>
    </w:rPr>
  </w:style>
  <w:style w:type="character" w:customStyle="1" w:styleId="CitaCar">
    <w:name w:val="Cita Car"/>
    <w:basedOn w:val="Fuentedeprrafopredeter"/>
    <w:link w:val="Cita"/>
    <w:uiPriority w:val="29"/>
    <w:rsid w:val="00CF214B"/>
    <w:rPr>
      <w:i/>
      <w:iCs/>
      <w:color w:val="404040" w:themeColor="text1" w:themeTint="BF"/>
    </w:rPr>
  </w:style>
  <w:style w:type="paragraph" w:styleId="Prrafodelista">
    <w:name w:val="List Paragraph"/>
    <w:basedOn w:val="Normal"/>
    <w:uiPriority w:val="34"/>
    <w:qFormat/>
    <w:rsid w:val="00CF214B"/>
    <w:pPr>
      <w:widowControl w:val="0"/>
      <w:spacing w:after="0" w:line="240" w:lineRule="auto"/>
      <w:ind w:left="720"/>
      <w:contextualSpacing/>
    </w:pPr>
  </w:style>
  <w:style w:type="character" w:styleId="nfasisintenso">
    <w:name w:val="Intense Emphasis"/>
    <w:basedOn w:val="Fuentedeprrafopredeter"/>
    <w:uiPriority w:val="21"/>
    <w:qFormat/>
    <w:rsid w:val="00CF214B"/>
    <w:rPr>
      <w:i/>
      <w:iCs/>
      <w:color w:val="2E74B5" w:themeColor="accent1" w:themeShade="BF"/>
    </w:rPr>
  </w:style>
  <w:style w:type="paragraph" w:styleId="Citadestacada">
    <w:name w:val="Intense Quote"/>
    <w:basedOn w:val="Normal"/>
    <w:next w:val="Normal"/>
    <w:link w:val="CitadestacadaCar"/>
    <w:uiPriority w:val="30"/>
    <w:qFormat/>
    <w:rsid w:val="00CF214B"/>
    <w:pPr>
      <w:widowControl w:val="0"/>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F214B"/>
    <w:rPr>
      <w:i/>
      <w:iCs/>
      <w:color w:val="2E74B5" w:themeColor="accent1" w:themeShade="BF"/>
    </w:rPr>
  </w:style>
  <w:style w:type="character" w:styleId="Referenciaintensa">
    <w:name w:val="Intense Reference"/>
    <w:basedOn w:val="Fuentedeprrafopredeter"/>
    <w:uiPriority w:val="32"/>
    <w:qFormat/>
    <w:rsid w:val="00CF214B"/>
    <w:rPr>
      <w:b/>
      <w:bCs/>
      <w:smallCaps/>
      <w:color w:val="2E74B5" w:themeColor="accent1" w:themeShade="BF"/>
      <w:spacing w:val="5"/>
    </w:rPr>
  </w:style>
  <w:style w:type="table" w:styleId="Tablaconcuadrcula">
    <w:name w:val="Table Grid"/>
    <w:basedOn w:val="Tablanormal"/>
    <w:uiPriority w:val="39"/>
    <w:rsid w:val="00CF21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2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14B"/>
    <w:pPr>
      <w:widowControl w:val="0"/>
      <w:autoSpaceDE w:val="0"/>
      <w:autoSpaceDN w:val="0"/>
      <w:spacing w:after="0" w:line="225" w:lineRule="exact"/>
    </w:pPr>
    <w:rPr>
      <w:rFonts w:ascii="Arial MT" w:eastAsia="Arial MT" w:hAnsi="Arial MT" w:cs="Arial MT"/>
      <w:lang w:val="es-ES"/>
    </w:rPr>
  </w:style>
  <w:style w:type="paragraph" w:customStyle="1" w:styleId="Default">
    <w:name w:val="Default"/>
    <w:link w:val="DefaultCar"/>
    <w:rsid w:val="00CF214B"/>
    <w:pPr>
      <w:autoSpaceDE w:val="0"/>
      <w:autoSpaceDN w:val="0"/>
      <w:adjustRightInd w:val="0"/>
      <w:spacing w:after="0" w:line="240" w:lineRule="auto"/>
    </w:pPr>
    <w:rPr>
      <w:rFonts w:ascii="Arial" w:hAnsi="Arial" w:cs="Arial"/>
      <w:color w:val="000000"/>
      <w:sz w:val="24"/>
      <w:szCs w:val="24"/>
    </w:rPr>
  </w:style>
  <w:style w:type="paragraph" w:styleId="Encabezado">
    <w:name w:val="header"/>
    <w:aliases w:val="Header Char Car,Header Char Car Car Car Car Car,Header Char Car Car Car Car, Car7"/>
    <w:basedOn w:val="Normal"/>
    <w:link w:val="EncabezadoCar"/>
    <w:unhideWhenUsed/>
    <w:rsid w:val="00CF214B"/>
    <w:pPr>
      <w:widowControl w:val="0"/>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F214B"/>
  </w:style>
  <w:style w:type="paragraph" w:styleId="Piedepgina">
    <w:name w:val="footer"/>
    <w:basedOn w:val="Normal"/>
    <w:link w:val="PiedepginaCar"/>
    <w:unhideWhenUsed/>
    <w:rsid w:val="00CF214B"/>
    <w:pPr>
      <w:widowControl w:val="0"/>
      <w:tabs>
        <w:tab w:val="center" w:pos="4419"/>
        <w:tab w:val="right" w:pos="8838"/>
      </w:tabs>
      <w:spacing w:after="0" w:line="240" w:lineRule="auto"/>
    </w:pPr>
  </w:style>
  <w:style w:type="character" w:customStyle="1" w:styleId="PiedepginaCar">
    <w:name w:val="Pie de página Car"/>
    <w:basedOn w:val="Fuentedeprrafopredeter"/>
    <w:link w:val="Piedepgina"/>
    <w:rsid w:val="00CF214B"/>
  </w:style>
  <w:style w:type="paragraph" w:styleId="Textodeglobo">
    <w:name w:val="Balloon Text"/>
    <w:basedOn w:val="Normal"/>
    <w:link w:val="TextodegloboCar"/>
    <w:uiPriority w:val="99"/>
    <w:unhideWhenUsed/>
    <w:rsid w:val="00CF214B"/>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CF214B"/>
    <w:rPr>
      <w:rFonts w:ascii="Segoe UI" w:hAnsi="Segoe UI" w:cs="Segoe UI"/>
      <w:sz w:val="18"/>
      <w:szCs w:val="18"/>
    </w:rPr>
  </w:style>
  <w:style w:type="paragraph" w:styleId="Sangra2detindependiente">
    <w:name w:val="Body Text Indent 2"/>
    <w:basedOn w:val="Normal"/>
    <w:link w:val="Sangra2detindependienteCar"/>
    <w:unhideWhenUsed/>
    <w:rsid w:val="00CF214B"/>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rsid w:val="00CF214B"/>
  </w:style>
  <w:style w:type="paragraph" w:styleId="Textoindependiente2">
    <w:name w:val="Body Text 2"/>
    <w:basedOn w:val="Normal"/>
    <w:link w:val="Textoindependiente2Car"/>
    <w:unhideWhenUsed/>
    <w:rsid w:val="00CF214B"/>
    <w:pPr>
      <w:widowControl w:val="0"/>
      <w:spacing w:after="120" w:line="480" w:lineRule="auto"/>
    </w:pPr>
  </w:style>
  <w:style w:type="character" w:customStyle="1" w:styleId="Textoindependiente2Car">
    <w:name w:val="Texto independiente 2 Car"/>
    <w:basedOn w:val="Fuentedeprrafopredeter"/>
    <w:link w:val="Textoindependiente2"/>
    <w:rsid w:val="00CF214B"/>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CF214B"/>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unhideWhenUsed/>
    <w:rsid w:val="00CF214B"/>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CF214B"/>
    <w:rPr>
      <w:rFonts w:ascii="Calibri" w:eastAsia="Times New Roman" w:hAnsi="Calibri" w:cs="Times New Roman"/>
      <w:sz w:val="20"/>
      <w:szCs w:val="20"/>
      <w:lang w:val="en-US"/>
    </w:rPr>
  </w:style>
  <w:style w:type="character" w:customStyle="1" w:styleId="SangradetextonormalCar">
    <w:name w:val="Sangría de texto normal Car"/>
    <w:aliases w:val="Sangría de t. independiente Car"/>
    <w:basedOn w:val="Fuentedeprrafopredeter"/>
    <w:link w:val="Sangradetextonormal"/>
    <w:uiPriority w:val="99"/>
    <w:locked/>
    <w:rsid w:val="00CF214B"/>
    <w:rPr>
      <w:lang w:val="es-ES" w:eastAsia="es-ES"/>
    </w:rPr>
  </w:style>
  <w:style w:type="paragraph" w:styleId="Sangradetextonormal">
    <w:name w:val="Body Text Indent"/>
    <w:aliases w:val="Sangría de t. independiente"/>
    <w:basedOn w:val="Normal"/>
    <w:link w:val="SangradetextonormalCar"/>
    <w:uiPriority w:val="99"/>
    <w:unhideWhenUsed/>
    <w:rsid w:val="00CF214B"/>
    <w:pPr>
      <w:spacing w:after="120" w:line="240" w:lineRule="auto"/>
      <w:ind w:left="283"/>
    </w:pPr>
    <w:rPr>
      <w:lang w:val="es-ES" w:eastAsia="es-ES"/>
    </w:rPr>
  </w:style>
  <w:style w:type="character" w:customStyle="1" w:styleId="SangradetextonormalCar1">
    <w:name w:val="Sangría de texto normal Car1"/>
    <w:basedOn w:val="Fuentedeprrafopredeter"/>
    <w:uiPriority w:val="99"/>
    <w:semiHidden/>
    <w:rsid w:val="00CF214B"/>
  </w:style>
  <w:style w:type="character" w:styleId="Refdenotaalpie">
    <w:name w:val="footnote reference"/>
    <w:aliases w:val="Ref. de nota al pie 2,Texto de nota al pie,Appel note de bas de page,Footnotes refss"/>
    <w:uiPriority w:val="99"/>
    <w:unhideWhenUsed/>
    <w:rsid w:val="00CF214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F214B"/>
    <w:rPr>
      <w:rFonts w:ascii="Arial" w:eastAsia="Times New Roman" w:hAnsi="Arial" w:cs="Arial"/>
      <w:sz w:val="24"/>
      <w:szCs w:val="24"/>
      <w:lang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CF214B"/>
    <w:pPr>
      <w:spacing w:line="240" w:lineRule="exact"/>
    </w:pPr>
    <w:rPr>
      <w:rFonts w:ascii="Tahoma" w:eastAsia="Times New Roman" w:hAnsi="Tahoma" w:cs="Times New Roman"/>
      <w:sz w:val="20"/>
      <w:szCs w:val="20"/>
      <w:lang w:val="es-ES"/>
    </w:rPr>
  </w:style>
  <w:style w:type="table" w:customStyle="1" w:styleId="TableGrid">
    <w:name w:val="TableGrid"/>
    <w:rsid w:val="00192F50"/>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192F50"/>
    <w:pPr>
      <w:spacing w:after="0" w:line="240" w:lineRule="auto"/>
    </w:pPr>
    <w:rPr>
      <w:rFonts w:ascii="Times New Roman" w:eastAsia="Times New Roman" w:hAnsi="Times New Roman" w:cs="Times New Roman"/>
      <w:sz w:val="20"/>
      <w:szCs w:val="20"/>
      <w:lang w:val="en-US"/>
    </w:rPr>
  </w:style>
  <w:style w:type="numbering" w:customStyle="1" w:styleId="Sinlista1">
    <w:name w:val="Sin lista1"/>
    <w:next w:val="Sinlista"/>
    <w:uiPriority w:val="99"/>
    <w:semiHidden/>
    <w:unhideWhenUsed/>
    <w:rsid w:val="00192F50"/>
  </w:style>
  <w:style w:type="table" w:customStyle="1" w:styleId="Tablaconcuadrcula1">
    <w:name w:val="Tabla con cuadrícula1"/>
    <w:basedOn w:val="Tablanormal"/>
    <w:next w:val="Tablaconcuadrcula"/>
    <w:uiPriority w:val="59"/>
    <w:rsid w:val="00192F50"/>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192F50"/>
    <w:rPr>
      <w:sz w:val="20"/>
      <w:szCs w:val="20"/>
    </w:rPr>
  </w:style>
  <w:style w:type="paragraph" w:styleId="Textocomentario">
    <w:name w:val="annotation text"/>
    <w:basedOn w:val="Normal"/>
    <w:link w:val="TextocomentarioCar"/>
    <w:uiPriority w:val="99"/>
    <w:unhideWhenUsed/>
    <w:rsid w:val="00192F50"/>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192F50"/>
    <w:rPr>
      <w:rFonts w:ascii="Arial" w:eastAsia="Arial" w:hAnsi="Arial" w:cs="Arial"/>
      <w:sz w:val="20"/>
      <w:szCs w:val="20"/>
      <w:lang w:val="es-ES"/>
    </w:rPr>
  </w:style>
  <w:style w:type="numbering" w:customStyle="1" w:styleId="Sinlista2">
    <w:name w:val="Sin lista2"/>
    <w:next w:val="Sinlista"/>
    <w:uiPriority w:val="99"/>
    <w:semiHidden/>
    <w:unhideWhenUsed/>
    <w:rsid w:val="00192F50"/>
  </w:style>
  <w:style w:type="character" w:customStyle="1" w:styleId="A3">
    <w:name w:val="A3"/>
    <w:uiPriority w:val="99"/>
    <w:rsid w:val="00192F50"/>
    <w:rPr>
      <w:rFonts w:cs="Helvetica LT Std"/>
      <w:color w:val="000000"/>
      <w:sz w:val="22"/>
      <w:szCs w:val="22"/>
    </w:rPr>
  </w:style>
  <w:style w:type="table" w:customStyle="1" w:styleId="Tablaconcuadrcula2">
    <w:name w:val="Tabla con cuadrícula2"/>
    <w:basedOn w:val="Tablanormal"/>
    <w:next w:val="Tablaconcuadrcula"/>
    <w:uiPriority w:val="39"/>
    <w:rsid w:val="00192F50"/>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2F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192F50"/>
    <w:pPr>
      <w:numPr>
        <w:numId w:val="1"/>
      </w:numPr>
    </w:pPr>
  </w:style>
  <w:style w:type="numbering" w:customStyle="1" w:styleId="Estilo3">
    <w:name w:val="Estilo3"/>
    <w:uiPriority w:val="99"/>
    <w:rsid w:val="00192F50"/>
    <w:pPr>
      <w:numPr>
        <w:numId w:val="2"/>
      </w:numPr>
    </w:pPr>
  </w:style>
  <w:style w:type="numbering" w:customStyle="1" w:styleId="Estilo4">
    <w:name w:val="Estilo4"/>
    <w:uiPriority w:val="99"/>
    <w:rsid w:val="00192F50"/>
    <w:pPr>
      <w:numPr>
        <w:numId w:val="3"/>
      </w:numPr>
    </w:pPr>
  </w:style>
  <w:style w:type="numbering" w:customStyle="1" w:styleId="Estilo5">
    <w:name w:val="Estilo5"/>
    <w:uiPriority w:val="99"/>
    <w:rsid w:val="00192F50"/>
    <w:pPr>
      <w:numPr>
        <w:numId w:val="4"/>
      </w:numPr>
    </w:pPr>
  </w:style>
  <w:style w:type="numbering" w:customStyle="1" w:styleId="Estilo6">
    <w:name w:val="Estilo6"/>
    <w:uiPriority w:val="99"/>
    <w:rsid w:val="00192F50"/>
    <w:pPr>
      <w:numPr>
        <w:numId w:val="5"/>
      </w:numPr>
    </w:pPr>
  </w:style>
  <w:style w:type="numbering" w:customStyle="1" w:styleId="Estilo1">
    <w:name w:val="Estilo1"/>
    <w:uiPriority w:val="99"/>
    <w:rsid w:val="00192F50"/>
    <w:pPr>
      <w:numPr>
        <w:numId w:val="6"/>
      </w:numPr>
    </w:pPr>
  </w:style>
  <w:style w:type="numbering" w:customStyle="1" w:styleId="Estilo">
    <w:name w:val="Estilo"/>
    <w:uiPriority w:val="99"/>
    <w:rsid w:val="00192F50"/>
    <w:pPr>
      <w:numPr>
        <w:numId w:val="7"/>
      </w:numPr>
    </w:pPr>
  </w:style>
  <w:style w:type="numbering" w:customStyle="1" w:styleId="Estilo7">
    <w:name w:val="Estilo7"/>
    <w:uiPriority w:val="99"/>
    <w:rsid w:val="00192F50"/>
    <w:pPr>
      <w:numPr>
        <w:numId w:val="8"/>
      </w:numPr>
    </w:pPr>
  </w:style>
  <w:style w:type="numbering" w:customStyle="1" w:styleId="Estilo8">
    <w:name w:val="Estilo8"/>
    <w:uiPriority w:val="99"/>
    <w:rsid w:val="00192F50"/>
    <w:pPr>
      <w:numPr>
        <w:numId w:val="9"/>
      </w:numPr>
    </w:pPr>
  </w:style>
  <w:style w:type="character" w:styleId="Nmerodepgina">
    <w:name w:val="page number"/>
    <w:basedOn w:val="Fuentedeprrafopredeter"/>
    <w:rsid w:val="00192F50"/>
  </w:style>
  <w:style w:type="table" w:customStyle="1" w:styleId="Tablaconcuadrcula11">
    <w:name w:val="Tabla con cuadrícula11"/>
    <w:basedOn w:val="Tablanormal"/>
    <w:next w:val="Tablaconcuadrcula"/>
    <w:uiPriority w:val="59"/>
    <w:locked/>
    <w:rsid w:val="00192F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192F50"/>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192F50"/>
    <w:rPr>
      <w:b/>
      <w:bCs/>
    </w:rPr>
  </w:style>
  <w:style w:type="paragraph" w:customStyle="1" w:styleId="xl71">
    <w:name w:val="xl71"/>
    <w:basedOn w:val="Normal"/>
    <w:rsid w:val="00192F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192F50"/>
    <w:pPr>
      <w:spacing w:after="0" w:line="360" w:lineRule="auto"/>
      <w:jc w:val="center"/>
    </w:pPr>
    <w:rPr>
      <w:rFonts w:ascii="Arial" w:eastAsia="Times New Roman" w:hAnsi="Arial" w:cs="Arial"/>
      <w:b/>
      <w:bCs/>
      <w:sz w:val="24"/>
      <w:szCs w:val="20"/>
      <w:lang w:eastAsia="es-ES"/>
    </w:rPr>
  </w:style>
  <w:style w:type="paragraph" w:styleId="Textoindependiente3">
    <w:name w:val="Body Text 3"/>
    <w:basedOn w:val="Normal"/>
    <w:link w:val="Textoindependiente3Car"/>
    <w:rsid w:val="00192F50"/>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92F50"/>
    <w:rPr>
      <w:rFonts w:ascii="Times New Roman" w:eastAsia="Times New Roman" w:hAnsi="Times New Roman" w:cs="Times New Roman"/>
      <w:sz w:val="16"/>
      <w:szCs w:val="16"/>
      <w:lang w:val="es-ES" w:eastAsia="es-ES"/>
    </w:rPr>
  </w:style>
  <w:style w:type="paragraph" w:customStyle="1" w:styleId="p3">
    <w:name w:val="p3"/>
    <w:basedOn w:val="Normal"/>
    <w:rsid w:val="00192F50"/>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192F50"/>
    <w:rPr>
      <w:b/>
      <w:bCs/>
      <w:color w:val="0000FF"/>
      <w:shd w:val="clear" w:color="auto" w:fill="FFFF00"/>
    </w:rPr>
  </w:style>
  <w:style w:type="paragraph" w:styleId="Textonotaalfinal">
    <w:name w:val="endnote text"/>
    <w:basedOn w:val="Normal"/>
    <w:link w:val="TextonotaalfinalCar"/>
    <w:uiPriority w:val="99"/>
    <w:rsid w:val="00192F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192F5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192F50"/>
    <w:rPr>
      <w:vertAlign w:val="superscript"/>
    </w:rPr>
  </w:style>
  <w:style w:type="character" w:customStyle="1" w:styleId="ecxred">
    <w:name w:val="ecxred"/>
    <w:basedOn w:val="Fuentedeprrafopredeter"/>
    <w:rsid w:val="00192F50"/>
  </w:style>
  <w:style w:type="paragraph" w:customStyle="1" w:styleId="Titulo10">
    <w:name w:val="Titulo 1"/>
    <w:basedOn w:val="Normal"/>
    <w:rsid w:val="00192F50"/>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
    <w:name w:val="Sin lista11"/>
    <w:next w:val="Sinlista"/>
    <w:uiPriority w:val="99"/>
    <w:semiHidden/>
    <w:unhideWhenUsed/>
    <w:rsid w:val="00192F50"/>
  </w:style>
  <w:style w:type="paragraph" w:customStyle="1" w:styleId="Prrafodelista1">
    <w:name w:val="Párrafo de lista1"/>
    <w:basedOn w:val="Normal"/>
    <w:qFormat/>
    <w:rsid w:val="00192F50"/>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192F50"/>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192F50"/>
    <w:rPr>
      <w:rFonts w:ascii="Segoe UI" w:eastAsia="Calibri" w:hAnsi="Segoe UI" w:cs="Segoe UI"/>
      <w:sz w:val="18"/>
      <w:szCs w:val="18"/>
      <w:lang w:val="es-ES"/>
    </w:rPr>
  </w:style>
  <w:style w:type="paragraph" w:customStyle="1" w:styleId="msolistparagraph0">
    <w:name w:val="msolistparagraph"/>
    <w:basedOn w:val="Normal"/>
    <w:rsid w:val="00192F50"/>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192F50"/>
  </w:style>
  <w:style w:type="character" w:styleId="Hipervnculo">
    <w:name w:val="Hyperlink"/>
    <w:uiPriority w:val="99"/>
    <w:unhideWhenUsed/>
    <w:rsid w:val="00192F50"/>
    <w:rPr>
      <w:color w:val="0000FF"/>
      <w:u w:val="single"/>
    </w:rPr>
  </w:style>
  <w:style w:type="character" w:styleId="Hipervnculovisitado">
    <w:name w:val="FollowedHyperlink"/>
    <w:uiPriority w:val="99"/>
    <w:semiHidden/>
    <w:unhideWhenUsed/>
    <w:rsid w:val="00192F50"/>
    <w:rPr>
      <w:color w:val="800080"/>
      <w:u w:val="single"/>
    </w:rPr>
  </w:style>
  <w:style w:type="paragraph" w:customStyle="1" w:styleId="xl65">
    <w:name w:val="xl65"/>
    <w:basedOn w:val="Normal"/>
    <w:rsid w:val="00192F50"/>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192F50"/>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192F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192F50"/>
  </w:style>
  <w:style w:type="paragraph" w:customStyle="1" w:styleId="font5">
    <w:name w:val="font5"/>
    <w:basedOn w:val="Normal"/>
    <w:rsid w:val="00192F50"/>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192F5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192F5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192F5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192F50"/>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192F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192F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192F5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192F5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192F5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192F5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192F5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192F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192F5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192F50"/>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192F50"/>
    <w:rPr>
      <w:rFonts w:ascii="Arial" w:hAnsi="Arial" w:cs="Arial"/>
      <w:color w:val="000000"/>
      <w:sz w:val="24"/>
      <w:szCs w:val="24"/>
    </w:rPr>
  </w:style>
  <w:style w:type="numbering" w:customStyle="1" w:styleId="Sinlista3">
    <w:name w:val="Sin lista3"/>
    <w:next w:val="Sinlista"/>
    <w:uiPriority w:val="99"/>
    <w:semiHidden/>
    <w:unhideWhenUsed/>
    <w:rsid w:val="00192F50"/>
  </w:style>
  <w:style w:type="table" w:customStyle="1" w:styleId="Tablaconcuadrcula21">
    <w:name w:val="Tabla con cuadrícula21"/>
    <w:basedOn w:val="Tablanormal"/>
    <w:next w:val="Tablaconcuadrcula"/>
    <w:uiPriority w:val="59"/>
    <w:rsid w:val="00192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192F50"/>
    <w:rPr>
      <w:sz w:val="16"/>
      <w:szCs w:val="16"/>
    </w:rPr>
  </w:style>
  <w:style w:type="paragraph" w:customStyle="1" w:styleId="Asuntodelcomentario1">
    <w:name w:val="Asunto del comentario1"/>
    <w:basedOn w:val="Textocomentario"/>
    <w:next w:val="Textocomentario"/>
    <w:uiPriority w:val="99"/>
    <w:unhideWhenUsed/>
    <w:rsid w:val="00192F50"/>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192F50"/>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192F5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92F50"/>
    <w:rPr>
      <w:rFonts w:ascii="Courier New" w:eastAsia="Times New Roman" w:hAnsi="Courier New" w:cs="Times New Roman"/>
      <w:sz w:val="20"/>
      <w:szCs w:val="20"/>
      <w:lang w:val="x-none" w:eastAsia="es-ES"/>
    </w:rPr>
  </w:style>
  <w:style w:type="paragraph" w:customStyle="1" w:styleId="ecmsonormal">
    <w:name w:val="ec_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192F50"/>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192F50"/>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192F50"/>
    <w:rPr>
      <w:rFonts w:ascii="Arial" w:eastAsia="Times New Roman" w:hAnsi="Arial" w:cs="Arial"/>
      <w:sz w:val="18"/>
      <w:szCs w:val="20"/>
      <w:lang w:val="es-ES" w:eastAsia="es-ES"/>
    </w:rPr>
  </w:style>
  <w:style w:type="paragraph" w:customStyle="1" w:styleId="ROMANOS">
    <w:name w:val="ROMANOS"/>
    <w:basedOn w:val="Normal"/>
    <w:rsid w:val="00192F5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192F50"/>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192F50"/>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192F50"/>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192F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92F50"/>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19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192F50"/>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192F50"/>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192F50"/>
  </w:style>
  <w:style w:type="character" w:customStyle="1" w:styleId="apple-converted-space">
    <w:name w:val="apple-converted-space"/>
    <w:basedOn w:val="Fuentedeprrafopredeter"/>
    <w:rsid w:val="00192F50"/>
  </w:style>
  <w:style w:type="character" w:styleId="nfasis">
    <w:name w:val="Emphasis"/>
    <w:basedOn w:val="Fuentedeprrafopredeter"/>
    <w:uiPriority w:val="20"/>
    <w:qFormat/>
    <w:rsid w:val="00192F50"/>
    <w:rPr>
      <w:i/>
      <w:iCs/>
    </w:rPr>
  </w:style>
  <w:style w:type="table" w:customStyle="1" w:styleId="Tablaconcuadrcula3">
    <w:name w:val="Tabla con cuadrícula3"/>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192F5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92F50"/>
    <w:pPr>
      <w:widowControl/>
      <w:autoSpaceDE/>
      <w:autoSpaceDN/>
    </w:pPr>
    <w:rPr>
      <w:rFonts w:ascii="Times New Roman" w:eastAsia="Calibri" w:hAnsi="Times New Roman" w:cs="Times New Roman"/>
      <w:b/>
      <w:bCs/>
      <w:lang w:eastAsia="es-MX"/>
    </w:rPr>
  </w:style>
  <w:style w:type="character" w:customStyle="1" w:styleId="AsuntodelcomentarioCar1">
    <w:name w:val="Asunto del comentario Car1"/>
    <w:basedOn w:val="TextocomentarioCar"/>
    <w:uiPriority w:val="99"/>
    <w:semiHidden/>
    <w:rsid w:val="00192F50"/>
    <w:rPr>
      <w:rFonts w:ascii="Arial" w:eastAsia="Arial" w:hAnsi="Arial" w:cs="Arial"/>
      <w:b/>
      <w:bCs/>
      <w:sz w:val="20"/>
      <w:szCs w:val="20"/>
      <w:lang w:val="es-ES"/>
    </w:rPr>
  </w:style>
  <w:style w:type="table" w:customStyle="1" w:styleId="Tablaconcuadrcula7">
    <w:name w:val="Tabla con cuadrícula7"/>
    <w:basedOn w:val="Tablanormal"/>
    <w:next w:val="Tablaconcuadrcula"/>
    <w:uiPriority w:val="39"/>
    <w:rsid w:val="0053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057F7"/>
  </w:style>
  <w:style w:type="table" w:customStyle="1" w:styleId="Tablaconcuadrcula8">
    <w:name w:val="Tabla con cuadrícula8"/>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057F7"/>
  </w:style>
  <w:style w:type="table" w:customStyle="1" w:styleId="Tablaconcuadrcula22">
    <w:name w:val="Tabla con cuadrícula2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A057F7"/>
  </w:style>
  <w:style w:type="paragraph" w:customStyle="1" w:styleId="corte5transcripcion">
    <w:name w:val="corte5 transcripcion"/>
    <w:basedOn w:val="Normal"/>
    <w:link w:val="corte5transcripcionCar"/>
    <w:qFormat/>
    <w:rsid w:val="00A057F7"/>
    <w:pPr>
      <w:spacing w:after="0" w:line="360" w:lineRule="auto"/>
      <w:ind w:left="709" w:right="709"/>
      <w:jc w:val="both"/>
    </w:pPr>
    <w:rPr>
      <w:rFonts w:ascii="Arial" w:eastAsia="Times New Roman" w:hAnsi="Arial" w:cs="Times New Roman"/>
      <w:b/>
      <w:i/>
      <w:sz w:val="30"/>
      <w:szCs w:val="24"/>
      <w:lang w:eastAsia="es-MX"/>
    </w:rPr>
  </w:style>
  <w:style w:type="character" w:customStyle="1" w:styleId="corte5transcripcionCar">
    <w:name w:val="corte5 transcripcion Car"/>
    <w:link w:val="corte5transcripcion"/>
    <w:locked/>
    <w:rsid w:val="00A057F7"/>
    <w:rPr>
      <w:rFonts w:ascii="Arial" w:eastAsia="Times New Roman" w:hAnsi="Arial" w:cs="Times New Roman"/>
      <w:b/>
      <w:i/>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rida.gob.m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2EE8-0319-4B35-B775-C848BA3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5542</Words>
  <Characters>30485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Beatriz Cituk Hernández</dc:creator>
  <cp:keywords/>
  <dc:description/>
  <cp:lastModifiedBy>Geovanni Gabriel Casanova Trujeque</cp:lastModifiedBy>
  <cp:revision>3</cp:revision>
  <cp:lastPrinted>2024-12-14T00:57:00Z</cp:lastPrinted>
  <dcterms:created xsi:type="dcterms:W3CDTF">2025-01-20T16:52:00Z</dcterms:created>
  <dcterms:modified xsi:type="dcterms:W3CDTF">2025-01-20T17:09:00Z</dcterms:modified>
</cp:coreProperties>
</file>